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08" w:rsidRPr="0028689E" w:rsidRDefault="00AD6908" w:rsidP="00AD6908">
      <w:pPr>
        <w:ind w:firstLine="30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財政分析レポート　</w:t>
      </w:r>
    </w:p>
    <w:p w:rsidR="00AD6908" w:rsidRPr="00863EC6" w:rsidRDefault="00AD6908" w:rsidP="008F5AFB">
      <w:pPr>
        <w:rPr>
          <w:rFonts w:ascii="ＭＳ ゴシック" w:eastAsia="ＭＳ ゴシック" w:hAnsi="ＭＳ 明朝"/>
          <w:bCs/>
          <w:sz w:val="24"/>
          <w:szCs w:val="24"/>
        </w:rPr>
      </w:pPr>
      <w:r>
        <w:rPr>
          <w:rFonts w:ascii="ＭＳ ゴシック" w:eastAsia="ＭＳ ゴシック" w:hAnsi="ＭＳ 明朝" w:hint="eastAsia"/>
          <w:bCs/>
          <w:sz w:val="24"/>
          <w:szCs w:val="24"/>
        </w:rPr>
        <w:t>分析自治体「　神奈川県</w:t>
      </w:r>
      <w:r w:rsidR="00191C20">
        <w:rPr>
          <w:rFonts w:ascii="ＭＳ ゴシック" w:eastAsia="ＭＳ ゴシック" w:hAnsi="ＭＳ 明朝" w:hint="eastAsia"/>
          <w:bCs/>
          <w:sz w:val="24"/>
          <w:szCs w:val="24"/>
        </w:rPr>
        <w:t>南足柄市</w:t>
      </w:r>
      <w:r>
        <w:rPr>
          <w:rFonts w:ascii="ＭＳ ゴシック" w:eastAsia="ＭＳ ゴシック" w:hAnsi="ＭＳ 明朝" w:hint="eastAsia"/>
          <w:bCs/>
          <w:sz w:val="24"/>
          <w:szCs w:val="24"/>
        </w:rPr>
        <w:t xml:space="preserve">　」　　　　　　　　　</w:t>
      </w:r>
      <w:r w:rsidRPr="00F20DCC">
        <w:rPr>
          <w:rFonts w:ascii="ＭＳ ゴシック" w:eastAsia="ＭＳ ゴシック" w:hAnsi="ＭＳ 明朝" w:hint="eastAsia"/>
          <w:bCs/>
          <w:sz w:val="24"/>
          <w:szCs w:val="24"/>
          <w:u w:val="single"/>
        </w:rPr>
        <w:t>氏名</w:t>
      </w:r>
      <w:r>
        <w:rPr>
          <w:rFonts w:ascii="ＭＳ ゴシック" w:eastAsia="ＭＳ ゴシック" w:hAnsi="ＭＳ 明朝" w:hint="eastAsia"/>
          <w:bCs/>
          <w:sz w:val="24"/>
          <w:szCs w:val="24"/>
          <w:u w:val="single"/>
        </w:rPr>
        <w:t>： 山神 裕</w:t>
      </w:r>
    </w:p>
    <w:p w:rsidR="00FE3212" w:rsidRDefault="00FE3212" w:rsidP="00FE3212">
      <w:pPr>
        <w:jc w:val="left"/>
      </w:pPr>
    </w:p>
    <w:p w:rsidR="002B4634" w:rsidRPr="00191C20" w:rsidRDefault="002B4634" w:rsidP="00EE7B6E">
      <w:pPr>
        <w:jc w:val="left"/>
        <w:sectPr w:rsidR="002B4634" w:rsidRPr="00191C20" w:rsidSect="004D39EC">
          <w:footerReference w:type="default" r:id="rId9"/>
          <w:pgSz w:w="11906" w:h="16838" w:code="9"/>
          <w:pgMar w:top="851" w:right="1134" w:bottom="851" w:left="1134" w:header="567" w:footer="567" w:gutter="0"/>
          <w:pgNumType w:fmt="numberInDash"/>
          <w:cols w:space="425"/>
          <w:docGrid w:type="linesAndChars" w:linePitch="291" w:charSpace="-3531"/>
        </w:sectPr>
      </w:pPr>
    </w:p>
    <w:p w:rsidR="002460B8" w:rsidRPr="00AD6908" w:rsidRDefault="00EE7B6E" w:rsidP="00CA7DE7">
      <w:pPr>
        <w:jc w:val="left"/>
        <w:rPr>
          <w:sz w:val="22"/>
        </w:rPr>
      </w:pPr>
      <w:r>
        <w:rPr>
          <w:rFonts w:hint="eastAsia"/>
          <w:sz w:val="22"/>
        </w:rPr>
        <w:lastRenderedPageBreak/>
        <w:t>１．</w:t>
      </w:r>
      <w:r w:rsidR="00191C20">
        <w:rPr>
          <w:rFonts w:hint="eastAsia"/>
          <w:sz w:val="22"/>
        </w:rPr>
        <w:t>南足柄市</w:t>
      </w:r>
      <w:r w:rsidR="002460B8" w:rsidRPr="00AD6908">
        <w:rPr>
          <w:rFonts w:hint="eastAsia"/>
          <w:sz w:val="22"/>
        </w:rPr>
        <w:t>の概要</w:t>
      </w:r>
    </w:p>
    <w:p w:rsidR="005C4681" w:rsidRDefault="00EE7B6E" w:rsidP="008D7396">
      <w:pPr>
        <w:pStyle w:val="a3"/>
        <w:tabs>
          <w:tab w:val="right" w:pos="10488"/>
        </w:tabs>
        <w:ind w:leftChars="0" w:left="410"/>
        <w:jc w:val="left"/>
        <w:rPr>
          <w:rFonts w:asciiTheme="minorEastAsia" w:hAnsiTheme="minorEastAsia"/>
          <w:szCs w:val="21"/>
        </w:rPr>
      </w:pPr>
      <w:r>
        <w:rPr>
          <w:rFonts w:asciiTheme="minorEastAsia" w:hAnsiTheme="minorEastAsia" w:hint="eastAsia"/>
          <w:szCs w:val="21"/>
        </w:rPr>
        <w:t>・</w:t>
      </w:r>
      <w:r w:rsidR="002A58ED">
        <w:rPr>
          <w:rFonts w:asciiTheme="minorEastAsia" w:hAnsiTheme="minorEastAsia" w:hint="eastAsia"/>
          <w:szCs w:val="21"/>
        </w:rPr>
        <w:t>昭和</w:t>
      </w:r>
      <w:r w:rsidR="00191C20">
        <w:rPr>
          <w:rFonts w:asciiTheme="minorEastAsia" w:hAnsiTheme="minorEastAsia" w:hint="eastAsia"/>
          <w:szCs w:val="21"/>
        </w:rPr>
        <w:t>３０</w:t>
      </w:r>
      <w:r w:rsidR="002A58ED">
        <w:rPr>
          <w:rFonts w:asciiTheme="minorEastAsia" w:hAnsiTheme="minorEastAsia" w:hint="eastAsia"/>
          <w:szCs w:val="21"/>
        </w:rPr>
        <w:t>年</w:t>
      </w:r>
      <w:r w:rsidR="00515F9E">
        <w:rPr>
          <w:rFonts w:asciiTheme="minorEastAsia" w:hAnsiTheme="minorEastAsia" w:hint="eastAsia"/>
          <w:szCs w:val="21"/>
        </w:rPr>
        <w:t xml:space="preserve"> </w:t>
      </w:r>
      <w:r w:rsidR="00191C20">
        <w:rPr>
          <w:rFonts w:asciiTheme="minorEastAsia" w:hAnsiTheme="minorEastAsia" w:hint="eastAsia"/>
          <w:szCs w:val="21"/>
        </w:rPr>
        <w:t>１</w:t>
      </w:r>
      <w:r w:rsidR="002A58ED">
        <w:rPr>
          <w:rFonts w:asciiTheme="minorEastAsia" w:hAnsiTheme="minorEastAsia" w:hint="eastAsia"/>
          <w:szCs w:val="21"/>
        </w:rPr>
        <w:t>町３村が合併</w:t>
      </w:r>
      <w:r w:rsidR="00515F9E">
        <w:rPr>
          <w:rFonts w:asciiTheme="minorEastAsia" w:hAnsiTheme="minorEastAsia" w:hint="eastAsia"/>
          <w:szCs w:val="21"/>
        </w:rPr>
        <w:t>し南足柄町が発足</w:t>
      </w:r>
      <w:r w:rsidR="002A58ED">
        <w:rPr>
          <w:rFonts w:asciiTheme="minorEastAsia" w:hAnsiTheme="minorEastAsia" w:hint="eastAsia"/>
          <w:szCs w:val="21"/>
        </w:rPr>
        <w:t>。</w:t>
      </w:r>
      <w:r w:rsidR="00515F9E">
        <w:rPr>
          <w:rFonts w:asciiTheme="minorEastAsia" w:hAnsiTheme="minorEastAsia" w:hint="eastAsia"/>
          <w:szCs w:val="21"/>
        </w:rPr>
        <w:t>昭和４７年</w:t>
      </w:r>
      <w:r w:rsidR="002A58ED">
        <w:rPr>
          <w:rFonts w:asciiTheme="minorEastAsia" w:hAnsiTheme="minorEastAsia" w:hint="eastAsia"/>
          <w:szCs w:val="21"/>
        </w:rPr>
        <w:t>市制</w:t>
      </w:r>
      <w:r w:rsidR="00515F9E">
        <w:rPr>
          <w:rFonts w:asciiTheme="minorEastAsia" w:hAnsiTheme="minorEastAsia" w:hint="eastAsia"/>
          <w:szCs w:val="21"/>
        </w:rPr>
        <w:t>施行</w:t>
      </w:r>
      <w:r w:rsidR="002A58ED">
        <w:rPr>
          <w:rFonts w:asciiTheme="minorEastAsia" w:hAnsiTheme="minorEastAsia" w:hint="eastAsia"/>
          <w:szCs w:val="21"/>
        </w:rPr>
        <w:t>。</w:t>
      </w:r>
    </w:p>
    <w:p w:rsidR="0077001C" w:rsidRDefault="00EE7B6E" w:rsidP="0077001C">
      <w:pPr>
        <w:pStyle w:val="a3"/>
        <w:ind w:leftChars="0" w:left="410"/>
        <w:jc w:val="left"/>
      </w:pPr>
      <w:r>
        <w:rPr>
          <w:rFonts w:hint="eastAsia"/>
        </w:rPr>
        <w:t>・</w:t>
      </w:r>
      <w:r w:rsidR="0077001C">
        <w:rPr>
          <w:rFonts w:hint="eastAsia"/>
        </w:rPr>
        <w:t>人口</w:t>
      </w:r>
      <w:r w:rsidR="0077001C">
        <w:rPr>
          <w:rFonts w:hint="eastAsia"/>
        </w:rPr>
        <w:t xml:space="preserve"> </w:t>
      </w:r>
      <w:r w:rsidR="000F20E3">
        <w:rPr>
          <w:rFonts w:hint="eastAsia"/>
        </w:rPr>
        <w:t>４２</w:t>
      </w:r>
      <w:r w:rsidR="0077001C">
        <w:rPr>
          <w:rFonts w:hint="eastAsia"/>
        </w:rPr>
        <w:t>,</w:t>
      </w:r>
      <w:r w:rsidR="000F20E3">
        <w:rPr>
          <w:rFonts w:hint="eastAsia"/>
        </w:rPr>
        <w:t>６６５</w:t>
      </w:r>
      <w:r w:rsidR="0077001C">
        <w:rPr>
          <w:rFonts w:hint="eastAsia"/>
        </w:rPr>
        <w:t>人（</w:t>
      </w:r>
      <w:r w:rsidR="000F20E3">
        <w:rPr>
          <w:rFonts w:hint="eastAsia"/>
        </w:rPr>
        <w:t>過去５年間</w:t>
      </w:r>
      <w:r w:rsidR="000F20E3">
        <w:rPr>
          <w:rFonts w:hint="eastAsia"/>
        </w:rPr>
        <w:t xml:space="preserve"> </w:t>
      </w:r>
      <w:r w:rsidR="0077001C">
        <w:rPr>
          <w:rFonts w:hint="eastAsia"/>
        </w:rPr>
        <w:t>▲</w:t>
      </w:r>
      <w:r w:rsidR="000F20E3">
        <w:rPr>
          <w:rFonts w:hint="eastAsia"/>
        </w:rPr>
        <w:t>１</w:t>
      </w:r>
      <w:r w:rsidR="0077001C">
        <w:rPr>
          <w:rFonts w:hint="eastAsia"/>
        </w:rPr>
        <w:t>,</w:t>
      </w:r>
      <w:r w:rsidR="000F20E3">
        <w:rPr>
          <w:rFonts w:hint="eastAsia"/>
        </w:rPr>
        <w:t>１５２</w:t>
      </w:r>
      <w:r w:rsidR="0077001C">
        <w:rPr>
          <w:rFonts w:hint="eastAsia"/>
        </w:rPr>
        <w:t>人</w:t>
      </w:r>
      <w:r w:rsidR="000F20E3">
        <w:rPr>
          <w:rFonts w:hint="eastAsia"/>
        </w:rPr>
        <w:t>・▲２</w:t>
      </w:r>
      <w:r w:rsidR="000F20E3">
        <w:rPr>
          <w:rFonts w:hint="eastAsia"/>
        </w:rPr>
        <w:t>.</w:t>
      </w:r>
      <w:r w:rsidR="000F20E3">
        <w:rPr>
          <w:rFonts w:hint="eastAsia"/>
        </w:rPr>
        <w:t>６％</w:t>
      </w:r>
      <w:r w:rsidR="0077001C">
        <w:rPr>
          <w:rFonts w:hint="eastAsia"/>
        </w:rPr>
        <w:t>、</w:t>
      </w:r>
      <w:r w:rsidR="000F20E3">
        <w:rPr>
          <w:rFonts w:hint="eastAsia"/>
        </w:rPr>
        <w:t>過去１０年間</w:t>
      </w:r>
      <w:r w:rsidR="000F20E3">
        <w:rPr>
          <w:rFonts w:hint="eastAsia"/>
        </w:rPr>
        <w:t xml:space="preserve"> </w:t>
      </w:r>
      <w:r w:rsidR="0077001C">
        <w:rPr>
          <w:rFonts w:hint="eastAsia"/>
        </w:rPr>
        <w:t>▲</w:t>
      </w:r>
      <w:r w:rsidR="000F20E3">
        <w:rPr>
          <w:rFonts w:hint="eastAsia"/>
        </w:rPr>
        <w:t>１</w:t>
      </w:r>
      <w:r w:rsidR="0077001C">
        <w:rPr>
          <w:rFonts w:hint="eastAsia"/>
        </w:rPr>
        <w:t>,</w:t>
      </w:r>
      <w:r w:rsidR="000F20E3">
        <w:rPr>
          <w:rFonts w:hint="eastAsia"/>
        </w:rPr>
        <w:t>５８２</w:t>
      </w:r>
      <w:r w:rsidR="0077001C">
        <w:rPr>
          <w:rFonts w:hint="eastAsia"/>
        </w:rPr>
        <w:t>人</w:t>
      </w:r>
      <w:r w:rsidR="000F20E3">
        <w:rPr>
          <w:rFonts w:hint="eastAsia"/>
        </w:rPr>
        <w:t>・▲３</w:t>
      </w:r>
      <w:r w:rsidR="000F20E3">
        <w:rPr>
          <w:rFonts w:hint="eastAsia"/>
        </w:rPr>
        <w:t>.</w:t>
      </w:r>
      <w:r w:rsidR="000F20E3">
        <w:rPr>
          <w:rFonts w:hint="eastAsia"/>
        </w:rPr>
        <w:t>６％</w:t>
      </w:r>
      <w:r w:rsidR="0077001C">
        <w:rPr>
          <w:rFonts w:hint="eastAsia"/>
        </w:rPr>
        <w:t>）</w:t>
      </w:r>
    </w:p>
    <w:p w:rsidR="0077001C" w:rsidRDefault="00EE7B6E" w:rsidP="0077001C">
      <w:pPr>
        <w:pStyle w:val="a3"/>
        <w:ind w:leftChars="0" w:left="410"/>
        <w:jc w:val="left"/>
      </w:pPr>
      <w:r>
        <w:rPr>
          <w:rFonts w:hint="eastAsia"/>
        </w:rPr>
        <w:t>・</w:t>
      </w:r>
      <w:r w:rsidR="0077001C">
        <w:rPr>
          <w:rFonts w:hint="eastAsia"/>
        </w:rPr>
        <w:t>生産者人口比率</w:t>
      </w:r>
      <w:r w:rsidR="0077001C">
        <w:rPr>
          <w:rFonts w:hint="eastAsia"/>
        </w:rPr>
        <w:t xml:space="preserve"> </w:t>
      </w:r>
      <w:r w:rsidR="0077001C">
        <w:rPr>
          <w:rFonts w:hint="eastAsia"/>
        </w:rPr>
        <w:t>６</w:t>
      </w:r>
      <w:r w:rsidR="000F20E3">
        <w:rPr>
          <w:rFonts w:hint="eastAsia"/>
        </w:rPr>
        <w:t>２</w:t>
      </w:r>
      <w:r w:rsidR="0077001C">
        <w:rPr>
          <w:rFonts w:hint="eastAsia"/>
        </w:rPr>
        <w:t>.</w:t>
      </w:r>
      <w:r w:rsidR="000F20E3">
        <w:rPr>
          <w:rFonts w:hint="eastAsia"/>
        </w:rPr>
        <w:t>１</w:t>
      </w:r>
      <w:r w:rsidR="0077001C">
        <w:rPr>
          <w:rFonts w:hint="eastAsia"/>
        </w:rPr>
        <w:t>％、老齢化率</w:t>
      </w:r>
      <w:r w:rsidR="0077001C">
        <w:rPr>
          <w:rFonts w:hint="eastAsia"/>
        </w:rPr>
        <w:t xml:space="preserve"> </w:t>
      </w:r>
      <w:r w:rsidR="0077001C">
        <w:rPr>
          <w:rFonts w:hint="eastAsia"/>
        </w:rPr>
        <w:t>２</w:t>
      </w:r>
      <w:r w:rsidR="000F20E3">
        <w:rPr>
          <w:rFonts w:hint="eastAsia"/>
        </w:rPr>
        <w:t>８</w:t>
      </w:r>
      <w:r w:rsidR="0077001C">
        <w:rPr>
          <w:rFonts w:hint="eastAsia"/>
        </w:rPr>
        <w:t>.</w:t>
      </w:r>
      <w:r w:rsidR="000F20E3">
        <w:rPr>
          <w:rFonts w:hint="eastAsia"/>
        </w:rPr>
        <w:t>６</w:t>
      </w:r>
      <w:r w:rsidR="0077001C">
        <w:rPr>
          <w:rFonts w:hint="eastAsia"/>
        </w:rPr>
        <w:t>％、合計特殊出生率</w:t>
      </w:r>
      <w:r w:rsidR="0077001C">
        <w:rPr>
          <w:rFonts w:hint="eastAsia"/>
        </w:rPr>
        <w:t xml:space="preserve"> </w:t>
      </w:r>
      <w:r w:rsidR="0077001C">
        <w:rPr>
          <w:rFonts w:hint="eastAsia"/>
        </w:rPr>
        <w:t>１</w:t>
      </w:r>
      <w:r w:rsidR="0077001C">
        <w:rPr>
          <w:rFonts w:hint="eastAsia"/>
        </w:rPr>
        <w:t>.</w:t>
      </w:r>
      <w:r w:rsidR="000F20E3">
        <w:rPr>
          <w:rFonts w:hint="eastAsia"/>
        </w:rPr>
        <w:t>３５</w:t>
      </w:r>
    </w:p>
    <w:p w:rsidR="002B4634" w:rsidRDefault="00EE7B6E" w:rsidP="002B4634">
      <w:pPr>
        <w:pStyle w:val="a3"/>
        <w:ind w:leftChars="0" w:left="410"/>
        <w:jc w:val="left"/>
      </w:pPr>
      <w:r>
        <w:rPr>
          <w:rFonts w:hint="eastAsia"/>
        </w:rPr>
        <w:t>・</w:t>
      </w:r>
      <w:r w:rsidR="002B4634">
        <w:rPr>
          <w:rFonts w:hint="eastAsia"/>
        </w:rPr>
        <w:t>面積</w:t>
      </w:r>
      <w:r w:rsidR="002B4634">
        <w:rPr>
          <w:rFonts w:hint="eastAsia"/>
        </w:rPr>
        <w:t xml:space="preserve"> </w:t>
      </w:r>
      <w:r w:rsidR="000F20E3">
        <w:rPr>
          <w:rFonts w:hint="eastAsia"/>
        </w:rPr>
        <w:t>７７</w:t>
      </w:r>
      <w:r w:rsidR="002A58ED">
        <w:rPr>
          <w:rFonts w:hint="eastAsia"/>
        </w:rPr>
        <w:t>.</w:t>
      </w:r>
      <w:r w:rsidR="000F20E3">
        <w:rPr>
          <w:rFonts w:hint="eastAsia"/>
        </w:rPr>
        <w:t>１</w:t>
      </w:r>
      <w:r w:rsidR="002B4634">
        <w:rPr>
          <w:rFonts w:hint="eastAsia"/>
        </w:rPr>
        <w:t>㎢、</w:t>
      </w:r>
      <w:r w:rsidR="002A58ED">
        <w:rPr>
          <w:rFonts w:hint="eastAsia"/>
        </w:rPr>
        <w:t>森林</w:t>
      </w:r>
      <w:r w:rsidR="002A58ED">
        <w:rPr>
          <w:rFonts w:hint="eastAsia"/>
        </w:rPr>
        <w:t xml:space="preserve"> </w:t>
      </w:r>
      <w:r w:rsidR="00515F9E">
        <w:rPr>
          <w:rFonts w:hint="eastAsia"/>
        </w:rPr>
        <w:t>７０</w:t>
      </w:r>
      <w:r w:rsidR="002A58ED">
        <w:rPr>
          <w:rFonts w:hint="eastAsia"/>
        </w:rPr>
        <w:t>％</w:t>
      </w:r>
      <w:r w:rsidR="0077001C">
        <w:rPr>
          <w:rFonts w:hint="eastAsia"/>
        </w:rPr>
        <w:t>。</w:t>
      </w:r>
    </w:p>
    <w:p w:rsidR="00D97844" w:rsidRDefault="00EE7B6E" w:rsidP="002B4634">
      <w:pPr>
        <w:pStyle w:val="a3"/>
        <w:ind w:leftChars="0" w:left="410"/>
        <w:jc w:val="left"/>
        <w:rPr>
          <w:szCs w:val="21"/>
        </w:rPr>
      </w:pPr>
      <w:r>
        <w:rPr>
          <w:rFonts w:hint="eastAsia"/>
          <w:szCs w:val="21"/>
        </w:rPr>
        <w:t>・</w:t>
      </w:r>
      <w:r w:rsidR="0077001C">
        <w:rPr>
          <w:rFonts w:hint="eastAsia"/>
          <w:szCs w:val="21"/>
        </w:rPr>
        <w:t>入込観光客数</w:t>
      </w:r>
      <w:r w:rsidR="0077001C">
        <w:rPr>
          <w:rFonts w:hint="eastAsia"/>
          <w:szCs w:val="21"/>
        </w:rPr>
        <w:t xml:space="preserve"> </w:t>
      </w:r>
      <w:r w:rsidR="00515F9E">
        <w:rPr>
          <w:rFonts w:hint="eastAsia"/>
          <w:szCs w:val="21"/>
        </w:rPr>
        <w:t>９４</w:t>
      </w:r>
      <w:r w:rsidR="0077001C">
        <w:rPr>
          <w:rFonts w:hint="eastAsia"/>
          <w:szCs w:val="21"/>
        </w:rPr>
        <w:t>万人（</w:t>
      </w:r>
      <w:r w:rsidR="00515F9E">
        <w:rPr>
          <w:rFonts w:hint="eastAsia"/>
          <w:szCs w:val="21"/>
        </w:rPr>
        <w:t>大雄山最乗寺</w:t>
      </w:r>
      <w:r w:rsidR="00515F9E">
        <w:rPr>
          <w:rFonts w:hint="eastAsia"/>
          <w:szCs w:val="21"/>
        </w:rPr>
        <w:t xml:space="preserve"> </w:t>
      </w:r>
      <w:r w:rsidR="00515F9E">
        <w:rPr>
          <w:rFonts w:hint="eastAsia"/>
          <w:szCs w:val="21"/>
        </w:rPr>
        <w:t>３２</w:t>
      </w:r>
      <w:r w:rsidR="0077001C">
        <w:rPr>
          <w:rFonts w:hint="eastAsia"/>
          <w:szCs w:val="21"/>
        </w:rPr>
        <w:t>万人、</w:t>
      </w:r>
      <w:r w:rsidR="00515F9E">
        <w:rPr>
          <w:rFonts w:hint="eastAsia"/>
          <w:szCs w:val="21"/>
        </w:rPr>
        <w:t>足柄峠</w:t>
      </w:r>
      <w:r w:rsidR="00515F9E">
        <w:rPr>
          <w:rFonts w:hint="eastAsia"/>
          <w:szCs w:val="21"/>
        </w:rPr>
        <w:t xml:space="preserve"> </w:t>
      </w:r>
      <w:r w:rsidR="00515F9E">
        <w:rPr>
          <w:rFonts w:hint="eastAsia"/>
          <w:szCs w:val="21"/>
        </w:rPr>
        <w:t>１４万人、夕日の滝</w:t>
      </w:r>
      <w:r w:rsidR="00515F9E">
        <w:rPr>
          <w:rFonts w:hint="eastAsia"/>
          <w:szCs w:val="21"/>
        </w:rPr>
        <w:t xml:space="preserve"> </w:t>
      </w:r>
      <w:r w:rsidR="00515F9E">
        <w:rPr>
          <w:rFonts w:hint="eastAsia"/>
          <w:szCs w:val="21"/>
        </w:rPr>
        <w:t>１２</w:t>
      </w:r>
      <w:r w:rsidR="0077001C">
        <w:rPr>
          <w:rFonts w:hint="eastAsia"/>
          <w:szCs w:val="21"/>
        </w:rPr>
        <w:t>万人）</w:t>
      </w:r>
    </w:p>
    <w:p w:rsidR="0033001E" w:rsidRDefault="00515F9E" w:rsidP="00491A8F">
      <w:pPr>
        <w:jc w:val="left"/>
        <w:rPr>
          <w:szCs w:val="21"/>
        </w:rPr>
      </w:pPr>
      <w:r>
        <w:rPr>
          <w:rFonts w:hint="eastAsia"/>
          <w:szCs w:val="21"/>
        </w:rPr>
        <w:t xml:space="preserve">    </w:t>
      </w:r>
      <w:r w:rsidR="00EE7B6E">
        <w:rPr>
          <w:rFonts w:hint="eastAsia"/>
          <w:szCs w:val="21"/>
        </w:rPr>
        <w:t>・</w:t>
      </w:r>
      <w:r>
        <w:rPr>
          <w:rFonts w:hint="eastAsia"/>
          <w:szCs w:val="21"/>
        </w:rPr>
        <w:t>富士フイルム</w:t>
      </w:r>
      <w:r w:rsidR="0033001E">
        <w:rPr>
          <w:rFonts w:hint="eastAsia"/>
          <w:szCs w:val="21"/>
        </w:rPr>
        <w:t>の企業城下町。同社の大規模リストラの影響</w:t>
      </w:r>
      <w:r w:rsidR="00175E1A">
        <w:rPr>
          <w:rFonts w:hint="eastAsia"/>
          <w:szCs w:val="21"/>
        </w:rPr>
        <w:t>等を受け</w:t>
      </w:r>
      <w:r w:rsidR="0033001E">
        <w:rPr>
          <w:rFonts w:hint="eastAsia"/>
          <w:szCs w:val="21"/>
        </w:rPr>
        <w:t>財政</w:t>
      </w:r>
      <w:r w:rsidR="00175E1A">
        <w:rPr>
          <w:rFonts w:hint="eastAsia"/>
          <w:szCs w:val="21"/>
        </w:rPr>
        <w:t>が</w:t>
      </w:r>
      <w:r w:rsidR="0033001E">
        <w:rPr>
          <w:rFonts w:hint="eastAsia"/>
          <w:szCs w:val="21"/>
        </w:rPr>
        <w:t>悪化。</w:t>
      </w:r>
    </w:p>
    <w:p w:rsidR="00005449" w:rsidRDefault="0033001E" w:rsidP="00EE7B6E">
      <w:pPr>
        <w:ind w:firstLineChars="300" w:firstLine="572"/>
        <w:jc w:val="left"/>
        <w:rPr>
          <w:szCs w:val="21"/>
        </w:rPr>
      </w:pPr>
      <w:r>
        <w:rPr>
          <w:rFonts w:hint="eastAsia"/>
          <w:szCs w:val="21"/>
        </w:rPr>
        <w:t>法人税収は３０億円を超えていたピーク比、１</w:t>
      </w:r>
      <w:r>
        <w:rPr>
          <w:rFonts w:hint="eastAsia"/>
          <w:szCs w:val="21"/>
        </w:rPr>
        <w:t>/</w:t>
      </w:r>
      <w:r>
        <w:rPr>
          <w:rFonts w:hint="eastAsia"/>
          <w:szCs w:val="21"/>
        </w:rPr>
        <w:t>１０程度まで減少。</w:t>
      </w:r>
    </w:p>
    <w:p w:rsidR="00515F9E" w:rsidRDefault="00515F9E" w:rsidP="00491A8F">
      <w:pPr>
        <w:jc w:val="left"/>
        <w:rPr>
          <w:szCs w:val="21"/>
        </w:rPr>
      </w:pPr>
    </w:p>
    <w:p w:rsidR="00AD6908" w:rsidRDefault="00EE7B6E" w:rsidP="00AD6908">
      <w:pPr>
        <w:rPr>
          <w:rFonts w:ascii="ＭＳ 明朝" w:hAnsi="ＭＳ 明朝"/>
          <w:bCs/>
        </w:rPr>
      </w:pPr>
      <w:r>
        <w:rPr>
          <w:rFonts w:ascii="ＭＳ 明朝" w:hAnsi="ＭＳ 明朝" w:hint="eastAsia"/>
          <w:bCs/>
        </w:rPr>
        <w:t>２</w:t>
      </w:r>
      <w:r w:rsidR="00AD6908">
        <w:rPr>
          <w:rFonts w:ascii="ＭＳ 明朝" w:hAnsi="ＭＳ 明朝" w:hint="eastAsia"/>
          <w:bCs/>
        </w:rPr>
        <w:t>．収支の状況</w:t>
      </w:r>
    </w:p>
    <w:p w:rsidR="00AD2AD8" w:rsidRDefault="00EE7B6E" w:rsidP="00EE7B6E">
      <w:pPr>
        <w:pStyle w:val="a3"/>
        <w:ind w:leftChars="200" w:left="572" w:hangingChars="100" w:hanging="191"/>
        <w:jc w:val="left"/>
        <w:rPr>
          <w:szCs w:val="21"/>
        </w:rPr>
      </w:pPr>
      <w:r>
        <w:rPr>
          <w:rFonts w:hint="eastAsia"/>
          <w:szCs w:val="21"/>
        </w:rPr>
        <w:t>・</w:t>
      </w:r>
      <w:r w:rsidR="00A21BAE">
        <w:rPr>
          <w:rFonts w:hint="eastAsia"/>
          <w:szCs w:val="21"/>
        </w:rPr>
        <w:t>直近５年間</w:t>
      </w:r>
      <w:r w:rsidR="00AD2AD8">
        <w:rPr>
          <w:rFonts w:hint="eastAsia"/>
          <w:szCs w:val="21"/>
        </w:rPr>
        <w:t>は、平成２５年度を除き、</w:t>
      </w:r>
      <w:r w:rsidR="00491A8F">
        <w:rPr>
          <w:rFonts w:hint="eastAsia"/>
          <w:szCs w:val="21"/>
        </w:rPr>
        <w:t>歳入</w:t>
      </w:r>
      <w:r w:rsidR="00AD2AD8">
        <w:rPr>
          <w:rFonts w:hint="eastAsia"/>
          <w:szCs w:val="21"/>
        </w:rPr>
        <w:t>・</w:t>
      </w:r>
      <w:r w:rsidR="00920D3B">
        <w:rPr>
          <w:rFonts w:hint="eastAsia"/>
          <w:szCs w:val="21"/>
        </w:rPr>
        <w:t>歳出ともに</w:t>
      </w:r>
      <w:r w:rsidR="00A21BAE">
        <w:rPr>
          <w:rFonts w:hint="eastAsia"/>
          <w:szCs w:val="21"/>
        </w:rPr>
        <w:t>概ね１４０億円前後で推移</w:t>
      </w:r>
      <w:r w:rsidR="00DE1DFA">
        <w:rPr>
          <w:rFonts w:hint="eastAsia"/>
          <w:szCs w:val="21"/>
        </w:rPr>
        <w:t>しているが、緩やかながらも人口減少や市税収減少によりいずれも減少基調にある</w:t>
      </w:r>
      <w:r w:rsidR="00A21BAE">
        <w:rPr>
          <w:rFonts w:hint="eastAsia"/>
          <w:szCs w:val="21"/>
        </w:rPr>
        <w:t>。</w:t>
      </w:r>
    </w:p>
    <w:p w:rsidR="00DE1DFA" w:rsidRPr="00E619CA" w:rsidRDefault="00DE1DFA" w:rsidP="00DE1DFA">
      <w:pPr>
        <w:ind w:leftChars="200" w:left="381"/>
        <w:jc w:val="left"/>
        <w:rPr>
          <w:szCs w:val="21"/>
        </w:rPr>
      </w:pPr>
    </w:p>
    <w:p w:rsidR="00253579" w:rsidRPr="00AD2AD8" w:rsidRDefault="00EE7B6E" w:rsidP="00EE7B6E">
      <w:pPr>
        <w:ind w:leftChars="200" w:left="572" w:hangingChars="100" w:hanging="191"/>
        <w:jc w:val="left"/>
        <w:rPr>
          <w:szCs w:val="21"/>
        </w:rPr>
      </w:pPr>
      <w:r>
        <w:rPr>
          <w:rFonts w:hint="eastAsia"/>
          <w:szCs w:val="21"/>
        </w:rPr>
        <w:t>・</w:t>
      </w:r>
      <w:r w:rsidR="00A21BAE" w:rsidRPr="00DE1DFA">
        <w:rPr>
          <w:rFonts w:hint="eastAsia"/>
          <w:szCs w:val="21"/>
        </w:rPr>
        <w:t>平成２５年度に限っては、土地開発公社</w:t>
      </w:r>
      <w:r w:rsidR="00DE1DFA">
        <w:rPr>
          <w:rFonts w:hint="eastAsia"/>
          <w:szCs w:val="21"/>
        </w:rPr>
        <w:t>の</w:t>
      </w:r>
      <w:r w:rsidR="00A21BAE" w:rsidRPr="00DE1DFA">
        <w:rPr>
          <w:rFonts w:hint="eastAsia"/>
          <w:szCs w:val="21"/>
        </w:rPr>
        <w:t>解散に伴う約６０億円の地方債発行と補助費支出</w:t>
      </w:r>
      <w:r w:rsidR="00DE1DFA">
        <w:rPr>
          <w:rFonts w:hint="eastAsia"/>
          <w:szCs w:val="21"/>
        </w:rPr>
        <w:t>という特殊要因に</w:t>
      </w:r>
      <w:r w:rsidR="00A21BAE" w:rsidRPr="00DE1DFA">
        <w:rPr>
          <w:rFonts w:hint="eastAsia"/>
          <w:szCs w:val="21"/>
        </w:rPr>
        <w:t>因り歳入・歳出ともに</w:t>
      </w:r>
      <w:r w:rsidR="00A21BAE" w:rsidRPr="00AD2AD8">
        <w:rPr>
          <w:rFonts w:hint="eastAsia"/>
          <w:szCs w:val="21"/>
        </w:rPr>
        <w:t>２００億円規模まで一時的に拡大した。</w:t>
      </w:r>
    </w:p>
    <w:p w:rsidR="00D24779" w:rsidRPr="00175E1A" w:rsidRDefault="00D24779" w:rsidP="00DE4BF4">
      <w:pPr>
        <w:pStyle w:val="a3"/>
        <w:ind w:leftChars="0" w:left="410"/>
        <w:jc w:val="left"/>
        <w:rPr>
          <w:szCs w:val="21"/>
        </w:rPr>
      </w:pPr>
    </w:p>
    <w:p w:rsidR="00EE7B6E" w:rsidRDefault="00EE7B6E" w:rsidP="00EE7B6E">
      <w:pPr>
        <w:pStyle w:val="a3"/>
        <w:ind w:leftChars="100" w:left="191" w:firstLineChars="100" w:firstLine="191"/>
        <w:jc w:val="left"/>
        <w:rPr>
          <w:szCs w:val="21"/>
        </w:rPr>
      </w:pPr>
      <w:r>
        <w:rPr>
          <w:rFonts w:hint="eastAsia"/>
          <w:szCs w:val="21"/>
        </w:rPr>
        <w:t>・</w:t>
      </w:r>
      <w:r w:rsidR="00DE1DFA">
        <w:rPr>
          <w:rFonts w:hint="eastAsia"/>
          <w:szCs w:val="21"/>
        </w:rPr>
        <w:t>類団比では、</w:t>
      </w:r>
      <w:r w:rsidR="002C1233">
        <w:rPr>
          <w:rFonts w:hint="eastAsia"/>
          <w:szCs w:val="21"/>
        </w:rPr>
        <w:t>歳入・歳出ともに大きく平均を下回っている。引き続き財務体質の改善に取り組んでいる最中であり、</w:t>
      </w:r>
    </w:p>
    <w:p w:rsidR="00DE1DFA" w:rsidRDefault="00CB3F98" w:rsidP="00EE7B6E">
      <w:pPr>
        <w:pStyle w:val="a3"/>
        <w:ind w:leftChars="100" w:left="191" w:firstLineChars="200" w:firstLine="381"/>
        <w:jc w:val="left"/>
        <w:rPr>
          <w:szCs w:val="21"/>
        </w:rPr>
      </w:pPr>
      <w:r>
        <w:rPr>
          <w:rFonts w:hint="eastAsia"/>
          <w:szCs w:val="21"/>
        </w:rPr>
        <w:t>緊縮的な財政運営の下、</w:t>
      </w:r>
      <w:r w:rsidR="002C1233">
        <w:rPr>
          <w:rFonts w:hint="eastAsia"/>
          <w:szCs w:val="21"/>
        </w:rPr>
        <w:t>公共事業等における積極投資は近年はなし。</w:t>
      </w:r>
    </w:p>
    <w:p w:rsidR="00CB3F98" w:rsidRPr="00CB3F98" w:rsidRDefault="00CB3F98" w:rsidP="00EE7B6E">
      <w:pPr>
        <w:pStyle w:val="a3"/>
        <w:ind w:leftChars="0" w:left="410" w:firstLineChars="100" w:firstLine="191"/>
        <w:jc w:val="left"/>
        <w:rPr>
          <w:szCs w:val="21"/>
        </w:rPr>
      </w:pPr>
      <w:r>
        <w:rPr>
          <w:rFonts w:hint="eastAsia"/>
          <w:szCs w:val="21"/>
        </w:rPr>
        <w:t>※類団</w:t>
      </w:r>
      <w:r w:rsidR="00175E1A">
        <w:rPr>
          <w:rFonts w:hint="eastAsia"/>
          <w:szCs w:val="21"/>
        </w:rPr>
        <w:t>の分類は“一般市</w:t>
      </w:r>
      <w:r w:rsidR="00175E1A">
        <w:rPr>
          <w:rFonts w:hint="eastAsia"/>
          <w:szCs w:val="21"/>
        </w:rPr>
        <w:t xml:space="preserve"> </w:t>
      </w:r>
      <w:r w:rsidR="00175E1A">
        <w:rPr>
          <w:rFonts w:hint="eastAsia"/>
          <w:szCs w:val="21"/>
        </w:rPr>
        <w:t>Ｉ－２”。類団の</w:t>
      </w:r>
      <w:r>
        <w:rPr>
          <w:rFonts w:hint="eastAsia"/>
          <w:szCs w:val="21"/>
        </w:rPr>
        <w:t>数字は類団</w:t>
      </w:r>
      <w:r w:rsidR="00175E1A">
        <w:rPr>
          <w:rFonts w:hint="eastAsia"/>
          <w:szCs w:val="21"/>
        </w:rPr>
        <w:t>の１人当たり</w:t>
      </w:r>
      <w:r>
        <w:rPr>
          <w:rFonts w:hint="eastAsia"/>
          <w:szCs w:val="21"/>
        </w:rPr>
        <w:t>平均値に南足柄市の人口を乗じたもの。</w:t>
      </w:r>
    </w:p>
    <w:p w:rsidR="004D39EC" w:rsidRDefault="00AE235D" w:rsidP="00D24779">
      <w:pPr>
        <w:ind w:firstLineChars="200" w:firstLine="381"/>
        <w:jc w:val="left"/>
        <w:rPr>
          <w:szCs w:val="21"/>
        </w:rPr>
      </w:pPr>
      <w:r w:rsidRPr="00A21BAE">
        <w:rPr>
          <w:noProof/>
        </w:rPr>
        <w:drawing>
          <wp:inline distT="0" distB="0" distL="0" distR="0" wp14:anchorId="6FD8534B" wp14:editId="59005F21">
            <wp:extent cx="5476240" cy="775335"/>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240" cy="775335"/>
                    </a:xfrm>
                    <a:prstGeom prst="rect">
                      <a:avLst/>
                    </a:prstGeom>
                    <a:noFill/>
                    <a:ln>
                      <a:noFill/>
                    </a:ln>
                  </pic:spPr>
                </pic:pic>
              </a:graphicData>
            </a:graphic>
          </wp:inline>
        </w:drawing>
      </w:r>
    </w:p>
    <w:p w:rsidR="00A21BAE" w:rsidRPr="00D24779" w:rsidRDefault="00A21BAE" w:rsidP="00D24779">
      <w:pPr>
        <w:ind w:firstLineChars="200" w:firstLine="381"/>
        <w:jc w:val="left"/>
        <w:rPr>
          <w:szCs w:val="21"/>
        </w:rPr>
      </w:pPr>
      <w:r>
        <w:rPr>
          <w:noProof/>
        </w:rPr>
        <w:drawing>
          <wp:inline distT="0" distB="0" distL="0" distR="0" wp14:anchorId="6BB51809" wp14:editId="1D681393">
            <wp:extent cx="4700588" cy="2628900"/>
            <wp:effectExtent l="0" t="0" r="2413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655" w:rsidRPr="00A323FB" w:rsidRDefault="00034655" w:rsidP="00920D3B">
      <w:pPr>
        <w:pStyle w:val="a3"/>
        <w:ind w:leftChars="0" w:left="410"/>
        <w:jc w:val="left"/>
        <w:rPr>
          <w:szCs w:val="21"/>
        </w:rPr>
      </w:pPr>
    </w:p>
    <w:p w:rsidR="00491A8F" w:rsidRDefault="00491A8F" w:rsidP="002460B8">
      <w:pPr>
        <w:pStyle w:val="a3"/>
        <w:ind w:leftChars="0" w:left="410"/>
        <w:jc w:val="left"/>
      </w:pPr>
    </w:p>
    <w:p w:rsidR="00E96487" w:rsidRDefault="00E96487" w:rsidP="00E96487">
      <w:pPr>
        <w:rPr>
          <w:rFonts w:ascii="ＭＳ 明朝" w:hAnsi="ＭＳ 明朝"/>
          <w:bCs/>
        </w:rPr>
      </w:pPr>
      <w:r>
        <w:rPr>
          <w:rFonts w:ascii="ＭＳ 明朝" w:hAnsi="ＭＳ 明朝" w:hint="eastAsia"/>
          <w:bCs/>
        </w:rPr>
        <w:t>２．財政構造の状況</w:t>
      </w:r>
    </w:p>
    <w:p w:rsidR="00E619CA" w:rsidRDefault="00E619CA" w:rsidP="002460B8">
      <w:pPr>
        <w:pStyle w:val="a3"/>
        <w:ind w:leftChars="0" w:left="410"/>
        <w:jc w:val="left"/>
      </w:pPr>
      <w:r>
        <w:rPr>
          <w:rFonts w:hint="eastAsia"/>
        </w:rPr>
        <w:t>○</w:t>
      </w:r>
      <w:r w:rsidR="002816DE">
        <w:rPr>
          <w:rFonts w:hint="eastAsia"/>
        </w:rPr>
        <w:t>財政力指数：</w:t>
      </w:r>
      <w:r w:rsidR="002816DE">
        <w:rPr>
          <w:rFonts w:hint="eastAsia"/>
        </w:rPr>
        <w:t xml:space="preserve"> </w:t>
      </w:r>
      <w:r w:rsidR="009A730F">
        <w:rPr>
          <w:rFonts w:hint="eastAsia"/>
        </w:rPr>
        <w:t>平成</w:t>
      </w:r>
      <w:r w:rsidR="00AD2AD8">
        <w:rPr>
          <w:rFonts w:hint="eastAsia"/>
        </w:rPr>
        <w:t>２３年度までは長きにわたり</w:t>
      </w:r>
      <w:r w:rsidR="00145B35">
        <w:rPr>
          <w:rFonts w:hint="eastAsia"/>
        </w:rPr>
        <w:t>１</w:t>
      </w:r>
      <w:r w:rsidR="00145B35">
        <w:rPr>
          <w:rFonts w:hint="eastAsia"/>
        </w:rPr>
        <w:t>.</w:t>
      </w:r>
      <w:r w:rsidR="00145B35">
        <w:rPr>
          <w:rFonts w:hint="eastAsia"/>
        </w:rPr>
        <w:t>０を超えていたが、</w:t>
      </w:r>
      <w:r w:rsidR="00AD2AD8">
        <w:rPr>
          <w:rFonts w:hint="eastAsia"/>
        </w:rPr>
        <w:t>地元の経済・雇用を長年支えてきた富士フイ</w:t>
      </w:r>
    </w:p>
    <w:p w:rsidR="00E619CA" w:rsidRDefault="00AD2AD8" w:rsidP="00E619CA">
      <w:pPr>
        <w:pStyle w:val="a3"/>
        <w:ind w:leftChars="0" w:left="410" w:firstLineChars="750" w:firstLine="1430"/>
        <w:jc w:val="left"/>
      </w:pPr>
      <w:r>
        <w:rPr>
          <w:rFonts w:hint="eastAsia"/>
        </w:rPr>
        <w:t>ルムの業績悪化と工場縮小</w:t>
      </w:r>
      <w:r w:rsidR="00CB3F98">
        <w:rPr>
          <w:rFonts w:hint="eastAsia"/>
        </w:rPr>
        <w:t>・雇用削減</w:t>
      </w:r>
      <w:r>
        <w:rPr>
          <w:rFonts w:hint="eastAsia"/>
        </w:rPr>
        <w:t>の影響をもろに受け</w:t>
      </w:r>
      <w:r w:rsidR="00145B35">
        <w:rPr>
          <w:rFonts w:hint="eastAsia"/>
        </w:rPr>
        <w:t>税収</w:t>
      </w:r>
      <w:r>
        <w:rPr>
          <w:rFonts w:hint="eastAsia"/>
        </w:rPr>
        <w:t>が大幅減少</w:t>
      </w:r>
      <w:r w:rsidR="00145B35">
        <w:rPr>
          <w:rFonts w:hint="eastAsia"/>
        </w:rPr>
        <w:t>、扶助費</w:t>
      </w:r>
      <w:r>
        <w:rPr>
          <w:rFonts w:hint="eastAsia"/>
        </w:rPr>
        <w:t>の</w:t>
      </w:r>
      <w:r w:rsidR="00145B35">
        <w:rPr>
          <w:rFonts w:hint="eastAsia"/>
        </w:rPr>
        <w:t>増加</w:t>
      </w:r>
      <w:r>
        <w:rPr>
          <w:rFonts w:hint="eastAsia"/>
        </w:rPr>
        <w:t>等もあり</w:t>
      </w:r>
    </w:p>
    <w:p w:rsidR="00E619CA" w:rsidRDefault="00AD2AD8" w:rsidP="00E619CA">
      <w:pPr>
        <w:pStyle w:val="a3"/>
        <w:ind w:leftChars="0" w:left="410" w:firstLineChars="750" w:firstLine="1430"/>
        <w:jc w:val="left"/>
      </w:pPr>
      <w:r>
        <w:rPr>
          <w:rFonts w:hint="eastAsia"/>
        </w:rPr>
        <w:t>平成２４年度に</w:t>
      </w:r>
      <w:r w:rsidR="00145B35">
        <w:rPr>
          <w:rFonts w:hint="eastAsia"/>
        </w:rPr>
        <w:t>１</w:t>
      </w:r>
      <w:r w:rsidR="00145B35">
        <w:rPr>
          <w:rFonts w:hint="eastAsia"/>
        </w:rPr>
        <w:t>.</w:t>
      </w:r>
      <w:r w:rsidR="00145B35">
        <w:rPr>
          <w:rFonts w:hint="eastAsia"/>
        </w:rPr>
        <w:t>０割れ。</w:t>
      </w:r>
      <w:r>
        <w:rPr>
          <w:rFonts w:hint="eastAsia"/>
        </w:rPr>
        <w:t>以降、</w:t>
      </w:r>
      <w:r w:rsidR="00B51BC3">
        <w:rPr>
          <w:rFonts w:hint="eastAsia"/>
        </w:rPr>
        <w:t>給与の適正化や滞納税の圧縮などの徴税強化が図られるも、</w:t>
      </w:r>
      <w:r>
        <w:rPr>
          <w:rFonts w:hint="eastAsia"/>
        </w:rPr>
        <w:t>緩や</w:t>
      </w:r>
    </w:p>
    <w:p w:rsidR="00AD2AD8" w:rsidRDefault="00AD2AD8" w:rsidP="00E619CA">
      <w:pPr>
        <w:pStyle w:val="a3"/>
        <w:ind w:leftChars="0" w:left="410" w:firstLineChars="750" w:firstLine="1430"/>
        <w:jc w:val="left"/>
      </w:pPr>
      <w:r>
        <w:rPr>
          <w:rFonts w:hint="eastAsia"/>
        </w:rPr>
        <w:t>かながらも悪化し続け、平成２７年度は０</w:t>
      </w:r>
      <w:r>
        <w:rPr>
          <w:rFonts w:hint="eastAsia"/>
        </w:rPr>
        <w:t>.</w:t>
      </w:r>
      <w:r>
        <w:rPr>
          <w:rFonts w:hint="eastAsia"/>
        </w:rPr>
        <w:t>９３まで低下</w:t>
      </w:r>
      <w:r w:rsidR="00F912B1">
        <w:rPr>
          <w:rFonts w:hint="eastAsia"/>
        </w:rPr>
        <w:t>。</w:t>
      </w:r>
    </w:p>
    <w:p w:rsidR="0033484D" w:rsidRDefault="0033484D" w:rsidP="002460B8">
      <w:pPr>
        <w:pStyle w:val="a3"/>
        <w:ind w:leftChars="0" w:left="410"/>
        <w:jc w:val="left"/>
      </w:pPr>
    </w:p>
    <w:p w:rsidR="00C74FF8" w:rsidRDefault="00AB0CE2" w:rsidP="002460B8">
      <w:pPr>
        <w:pStyle w:val="a3"/>
        <w:ind w:leftChars="0" w:left="410"/>
        <w:jc w:val="left"/>
        <w:rPr>
          <w:rFonts w:hint="eastAsia"/>
        </w:rPr>
      </w:pPr>
      <w:r>
        <w:rPr>
          <w:noProof/>
        </w:rPr>
        <w:lastRenderedPageBreak/>
        <w:drawing>
          <wp:inline distT="0" distB="0" distL="0" distR="0" wp14:anchorId="194283E1" wp14:editId="27CA00CB">
            <wp:extent cx="4383157" cy="1938131"/>
            <wp:effectExtent l="0" t="0" r="17780" b="2413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5E1A" w:rsidRDefault="00175E1A" w:rsidP="002460B8">
      <w:pPr>
        <w:pStyle w:val="a3"/>
        <w:ind w:leftChars="0" w:left="410"/>
        <w:jc w:val="left"/>
      </w:pPr>
    </w:p>
    <w:p w:rsidR="000F5367" w:rsidRDefault="00E619CA" w:rsidP="00C74FF8">
      <w:pPr>
        <w:pStyle w:val="a3"/>
        <w:ind w:leftChars="0" w:left="410"/>
        <w:jc w:val="left"/>
      </w:pPr>
      <w:r>
        <w:rPr>
          <w:rFonts w:hint="eastAsia"/>
        </w:rPr>
        <w:t>○</w:t>
      </w:r>
      <w:r w:rsidR="00C74FF8">
        <w:rPr>
          <w:rFonts w:hint="eastAsia"/>
        </w:rPr>
        <w:t>経常収支比率：</w:t>
      </w:r>
      <w:r w:rsidR="00C74FF8">
        <w:rPr>
          <w:rFonts w:hint="eastAsia"/>
        </w:rPr>
        <w:t xml:space="preserve"> </w:t>
      </w:r>
      <w:r w:rsidR="00DF03BA">
        <w:rPr>
          <w:rFonts w:hint="eastAsia"/>
        </w:rPr>
        <w:t>前述の通りの背景に</w:t>
      </w:r>
      <w:r w:rsidR="004405A4">
        <w:rPr>
          <w:rFonts w:hint="eastAsia"/>
        </w:rPr>
        <w:t>平成</w:t>
      </w:r>
      <w:r w:rsidR="00DF03BA">
        <w:rPr>
          <w:rFonts w:hint="eastAsia"/>
        </w:rPr>
        <w:t>２２</w:t>
      </w:r>
      <w:r w:rsidR="00855B92">
        <w:rPr>
          <w:rFonts w:hint="eastAsia"/>
        </w:rPr>
        <w:t>年度</w:t>
      </w:r>
      <w:r w:rsidR="00DF03BA">
        <w:rPr>
          <w:rFonts w:hint="eastAsia"/>
        </w:rPr>
        <w:t>に１００超え。平成２４年度に１００以下に回復したが、地方税</w:t>
      </w:r>
    </w:p>
    <w:p w:rsidR="000F5367" w:rsidRDefault="00DF03BA" w:rsidP="000F5367">
      <w:pPr>
        <w:pStyle w:val="a3"/>
        <w:ind w:leftChars="0" w:left="410" w:firstLineChars="850" w:firstLine="1621"/>
        <w:jc w:val="left"/>
      </w:pPr>
      <w:r>
        <w:rPr>
          <w:rFonts w:hint="eastAsia"/>
        </w:rPr>
        <w:t>の減少</w:t>
      </w:r>
      <w:r w:rsidR="005C2E55">
        <w:rPr>
          <w:rFonts w:hint="eastAsia"/>
        </w:rPr>
        <w:t>が止まらず、扶助費の増加傾向も続いた</w:t>
      </w:r>
      <w:r>
        <w:rPr>
          <w:rFonts w:hint="eastAsia"/>
        </w:rPr>
        <w:t>ことなどに平成２６年度に再び１００</w:t>
      </w:r>
      <w:r w:rsidR="005C2E55">
        <w:rPr>
          <w:rFonts w:hint="eastAsia"/>
        </w:rPr>
        <w:t>を</w:t>
      </w:r>
      <w:r>
        <w:rPr>
          <w:rFonts w:hint="eastAsia"/>
        </w:rPr>
        <w:t>超え</w:t>
      </w:r>
      <w:r w:rsidR="005C2E55">
        <w:rPr>
          <w:rFonts w:hint="eastAsia"/>
        </w:rPr>
        <w:t>、財政</w:t>
      </w:r>
    </w:p>
    <w:p w:rsidR="000F5367" w:rsidRDefault="005C2E55" w:rsidP="000F5367">
      <w:pPr>
        <w:pStyle w:val="a3"/>
        <w:ind w:leftChars="0" w:left="410" w:firstLineChars="850" w:firstLine="1621"/>
        <w:jc w:val="left"/>
      </w:pPr>
      <w:r>
        <w:rPr>
          <w:rFonts w:hint="eastAsia"/>
        </w:rPr>
        <w:t>は硬直化している</w:t>
      </w:r>
      <w:r w:rsidR="00DF03BA">
        <w:rPr>
          <w:rFonts w:hint="eastAsia"/>
        </w:rPr>
        <w:t>。</w:t>
      </w:r>
      <w:r w:rsidR="00696785">
        <w:rPr>
          <w:rFonts w:hint="eastAsia"/>
        </w:rPr>
        <w:t>類団平均８８</w:t>
      </w:r>
      <w:r w:rsidR="00696785">
        <w:rPr>
          <w:rFonts w:hint="eastAsia"/>
        </w:rPr>
        <w:t>.</w:t>
      </w:r>
      <w:r w:rsidR="00696785">
        <w:rPr>
          <w:rFonts w:hint="eastAsia"/>
        </w:rPr>
        <w:t>３との比較においても著しく劣後しており、</w:t>
      </w:r>
      <w:r>
        <w:rPr>
          <w:rFonts w:hint="eastAsia"/>
        </w:rPr>
        <w:t>全国の市の中で下か</w:t>
      </w:r>
    </w:p>
    <w:p w:rsidR="000F5367" w:rsidRDefault="005C2E55" w:rsidP="000F5367">
      <w:pPr>
        <w:pStyle w:val="a3"/>
        <w:ind w:leftChars="0" w:left="410" w:firstLineChars="850" w:firstLine="1621"/>
        <w:jc w:val="left"/>
      </w:pPr>
      <w:r>
        <w:rPr>
          <w:rFonts w:hint="eastAsia"/>
        </w:rPr>
        <w:t>ら６番目の悪さである。</w:t>
      </w:r>
      <w:r w:rsidR="0014205C">
        <w:rPr>
          <w:rFonts w:hint="eastAsia"/>
        </w:rPr>
        <w:t>地方税は減少基調ではあるものの類団平均は上回っており、歳入面にこの</w:t>
      </w:r>
    </w:p>
    <w:p w:rsidR="00CB3F98" w:rsidRDefault="0014205C" w:rsidP="000F5367">
      <w:pPr>
        <w:pStyle w:val="a3"/>
        <w:ind w:leftChars="0" w:left="410" w:firstLineChars="850" w:firstLine="1621"/>
        <w:jc w:val="left"/>
      </w:pPr>
      <w:r>
        <w:rPr>
          <w:rFonts w:hint="eastAsia"/>
        </w:rPr>
        <w:t>経常収支比率の悪さの主因はないと言えそう。</w:t>
      </w:r>
    </w:p>
    <w:p w:rsidR="00CB3F98" w:rsidRPr="00CB3F98" w:rsidRDefault="00CB3F98" w:rsidP="00C74FF8">
      <w:pPr>
        <w:pStyle w:val="a3"/>
        <w:ind w:leftChars="0" w:left="410"/>
        <w:jc w:val="left"/>
      </w:pPr>
    </w:p>
    <w:p w:rsidR="000F5367" w:rsidRDefault="0014205C" w:rsidP="000F5367">
      <w:pPr>
        <w:pStyle w:val="a3"/>
        <w:ind w:leftChars="0" w:left="410" w:firstLineChars="850" w:firstLine="1621"/>
        <w:jc w:val="left"/>
      </w:pPr>
      <w:r>
        <w:rPr>
          <w:rFonts w:hint="eastAsia"/>
        </w:rPr>
        <w:t>一方、歳出面に関しては、</w:t>
      </w:r>
      <w:r w:rsidR="005A6221">
        <w:rPr>
          <w:rFonts w:hint="eastAsia"/>
        </w:rPr>
        <w:t>人件費・物件費・扶助費・公債費・補助費・繰出金・投資的経費</w:t>
      </w:r>
      <w:r>
        <w:rPr>
          <w:rFonts w:hint="eastAsia"/>
        </w:rPr>
        <w:t>すべて</w:t>
      </w:r>
    </w:p>
    <w:p w:rsidR="000F5367" w:rsidRDefault="0014205C" w:rsidP="000F5367">
      <w:pPr>
        <w:pStyle w:val="a3"/>
        <w:ind w:leftChars="0" w:left="410" w:firstLineChars="850" w:firstLine="1621"/>
        <w:jc w:val="left"/>
      </w:pPr>
      <w:r>
        <w:rPr>
          <w:rFonts w:hint="eastAsia"/>
        </w:rPr>
        <w:t>に関し</w:t>
      </w:r>
      <w:r w:rsidR="00A953AF">
        <w:rPr>
          <w:rFonts w:hint="eastAsia"/>
        </w:rPr>
        <w:t>１人当たり</w:t>
      </w:r>
      <w:r>
        <w:rPr>
          <w:rFonts w:hint="eastAsia"/>
        </w:rPr>
        <w:t>の金額では類団平均を下回っている</w:t>
      </w:r>
      <w:r w:rsidR="005C2E55">
        <w:rPr>
          <w:rFonts w:hint="eastAsia"/>
        </w:rPr>
        <w:t>ものの</w:t>
      </w:r>
      <w:r>
        <w:rPr>
          <w:rFonts w:hint="eastAsia"/>
        </w:rPr>
        <w:t>、</w:t>
      </w:r>
      <w:r w:rsidR="005C2E55">
        <w:rPr>
          <w:rFonts w:hint="eastAsia"/>
        </w:rPr>
        <w:t>人件費や扶助費などの</w:t>
      </w:r>
      <w:r>
        <w:rPr>
          <w:rFonts w:hint="eastAsia"/>
        </w:rPr>
        <w:t>経常収支比率</w:t>
      </w:r>
    </w:p>
    <w:p w:rsidR="000F5367" w:rsidRDefault="0014205C" w:rsidP="000F5367">
      <w:pPr>
        <w:pStyle w:val="a3"/>
        <w:ind w:leftChars="0" w:left="410" w:firstLineChars="850" w:firstLine="1621"/>
        <w:jc w:val="left"/>
      </w:pPr>
      <w:r>
        <w:rPr>
          <w:rFonts w:hint="eastAsia"/>
        </w:rPr>
        <w:t>は類団平均を下回って</w:t>
      </w:r>
      <w:r w:rsidR="00647671">
        <w:rPr>
          <w:rFonts w:hint="eastAsia"/>
        </w:rPr>
        <w:t>おり、指数悪化の</w:t>
      </w:r>
      <w:r w:rsidR="00A761B9">
        <w:rPr>
          <w:rFonts w:hint="eastAsia"/>
        </w:rPr>
        <w:t>一因</w:t>
      </w:r>
      <w:r w:rsidR="00647671">
        <w:rPr>
          <w:rFonts w:hint="eastAsia"/>
        </w:rPr>
        <w:t>と見なされる</w:t>
      </w:r>
      <w:r w:rsidR="009A78A6">
        <w:rPr>
          <w:rFonts w:hint="eastAsia"/>
        </w:rPr>
        <w:t>（人件費</w:t>
      </w:r>
      <w:r w:rsidR="009A78A6">
        <w:rPr>
          <w:rFonts w:hint="eastAsia"/>
        </w:rPr>
        <w:t xml:space="preserve"> </w:t>
      </w:r>
      <w:r w:rsidR="009A78A6">
        <w:rPr>
          <w:rFonts w:hint="eastAsia"/>
        </w:rPr>
        <w:t>２７</w:t>
      </w:r>
      <w:r w:rsidR="009A78A6">
        <w:rPr>
          <w:rFonts w:hint="eastAsia"/>
        </w:rPr>
        <w:t>.</w:t>
      </w:r>
      <w:r w:rsidR="009A78A6">
        <w:rPr>
          <w:rFonts w:hint="eastAsia"/>
        </w:rPr>
        <w:t>８％：類団</w:t>
      </w:r>
      <w:r w:rsidR="009A78A6">
        <w:rPr>
          <w:rFonts w:hint="eastAsia"/>
        </w:rPr>
        <w:t xml:space="preserve"> </w:t>
      </w:r>
      <w:r w:rsidR="009A78A6">
        <w:rPr>
          <w:rFonts w:hint="eastAsia"/>
        </w:rPr>
        <w:t>２３</w:t>
      </w:r>
      <w:r w:rsidR="009A78A6">
        <w:rPr>
          <w:rFonts w:hint="eastAsia"/>
        </w:rPr>
        <w:t>.</w:t>
      </w:r>
      <w:r w:rsidR="009A78A6">
        <w:rPr>
          <w:rFonts w:hint="eastAsia"/>
        </w:rPr>
        <w:t>５％、物</w:t>
      </w:r>
    </w:p>
    <w:p w:rsidR="00B51BC3" w:rsidRDefault="009A78A6" w:rsidP="000F5367">
      <w:pPr>
        <w:pStyle w:val="a3"/>
        <w:ind w:leftChars="0" w:left="410" w:firstLineChars="850" w:firstLine="1621"/>
        <w:jc w:val="left"/>
      </w:pPr>
      <w:r>
        <w:rPr>
          <w:rFonts w:hint="eastAsia"/>
        </w:rPr>
        <w:t>件費</w:t>
      </w:r>
      <w:r>
        <w:rPr>
          <w:rFonts w:hint="eastAsia"/>
        </w:rPr>
        <w:t xml:space="preserve"> </w:t>
      </w:r>
      <w:r>
        <w:rPr>
          <w:rFonts w:hint="eastAsia"/>
        </w:rPr>
        <w:t>２０</w:t>
      </w:r>
      <w:r>
        <w:rPr>
          <w:rFonts w:hint="eastAsia"/>
        </w:rPr>
        <w:t>.</w:t>
      </w:r>
      <w:r>
        <w:rPr>
          <w:rFonts w:hint="eastAsia"/>
        </w:rPr>
        <w:t>６％：１４</w:t>
      </w:r>
      <w:r>
        <w:rPr>
          <w:rFonts w:hint="eastAsia"/>
        </w:rPr>
        <w:t>.</w:t>
      </w:r>
      <w:r>
        <w:rPr>
          <w:rFonts w:hint="eastAsia"/>
        </w:rPr>
        <w:t>８％、扶助費</w:t>
      </w:r>
      <w:r>
        <w:rPr>
          <w:rFonts w:hint="eastAsia"/>
        </w:rPr>
        <w:t xml:space="preserve"> </w:t>
      </w:r>
      <w:r>
        <w:rPr>
          <w:rFonts w:hint="eastAsia"/>
        </w:rPr>
        <w:t>９</w:t>
      </w:r>
      <w:r>
        <w:rPr>
          <w:rFonts w:hint="eastAsia"/>
        </w:rPr>
        <w:t>.</w:t>
      </w:r>
      <w:r>
        <w:rPr>
          <w:rFonts w:hint="eastAsia"/>
        </w:rPr>
        <w:t>４％：８</w:t>
      </w:r>
      <w:r>
        <w:rPr>
          <w:rFonts w:hint="eastAsia"/>
        </w:rPr>
        <w:t>.</w:t>
      </w:r>
      <w:r>
        <w:rPr>
          <w:rFonts w:hint="eastAsia"/>
        </w:rPr>
        <w:t>６％）。</w:t>
      </w:r>
    </w:p>
    <w:p w:rsidR="00E030E3" w:rsidRDefault="00E030E3" w:rsidP="00C74FF8">
      <w:pPr>
        <w:pStyle w:val="a3"/>
        <w:ind w:leftChars="0" w:left="410"/>
        <w:jc w:val="left"/>
      </w:pPr>
    </w:p>
    <w:p w:rsidR="00724011" w:rsidRDefault="00AB0CE2" w:rsidP="00C74FF8">
      <w:pPr>
        <w:pStyle w:val="a3"/>
        <w:ind w:leftChars="0" w:left="410"/>
        <w:jc w:val="left"/>
        <w:rPr>
          <w:rFonts w:hint="eastAsia"/>
        </w:rPr>
      </w:pPr>
      <w:r>
        <w:rPr>
          <w:noProof/>
        </w:rPr>
        <w:drawing>
          <wp:inline distT="0" distB="0" distL="0" distR="0" wp14:anchorId="7E95DF39" wp14:editId="56A183B8">
            <wp:extent cx="3458817" cy="2087217"/>
            <wp:effectExtent l="0" t="0" r="27940" b="2794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5E1A" w:rsidRDefault="00175E1A" w:rsidP="00C74FF8">
      <w:pPr>
        <w:pStyle w:val="a3"/>
        <w:ind w:leftChars="0" w:left="410"/>
        <w:jc w:val="left"/>
      </w:pPr>
    </w:p>
    <w:p w:rsidR="00E619CA" w:rsidRDefault="00E619CA" w:rsidP="00A52109">
      <w:pPr>
        <w:pStyle w:val="a3"/>
        <w:ind w:leftChars="0" w:left="410"/>
        <w:jc w:val="left"/>
      </w:pPr>
      <w:r>
        <w:rPr>
          <w:rFonts w:hint="eastAsia"/>
        </w:rPr>
        <w:t>○</w:t>
      </w:r>
      <w:r w:rsidR="00B1625E">
        <w:rPr>
          <w:rFonts w:hint="eastAsia"/>
        </w:rPr>
        <w:t>地方債残高：</w:t>
      </w:r>
      <w:r w:rsidR="00B1625E">
        <w:rPr>
          <w:rFonts w:hint="eastAsia"/>
        </w:rPr>
        <w:t xml:space="preserve"> </w:t>
      </w:r>
      <w:r w:rsidR="003D11D4">
        <w:rPr>
          <w:rFonts w:hint="eastAsia"/>
        </w:rPr>
        <w:t>平成１</w:t>
      </w:r>
      <w:r w:rsidR="00A52109">
        <w:rPr>
          <w:rFonts w:hint="eastAsia"/>
        </w:rPr>
        <w:t>７年度以降１２０億円台で推移していたものの、平成２５年に土地開発公社の解散に伴い、</w:t>
      </w:r>
    </w:p>
    <w:p w:rsidR="00B1625E" w:rsidRDefault="00A52109" w:rsidP="00E619CA">
      <w:pPr>
        <w:pStyle w:val="a3"/>
        <w:ind w:leftChars="0" w:left="410" w:firstLineChars="750" w:firstLine="1430"/>
        <w:jc w:val="left"/>
      </w:pPr>
      <w:r>
        <w:rPr>
          <w:rFonts w:hint="eastAsia"/>
        </w:rPr>
        <w:t>その債務清算のために約６０億円の起債、過去最大規模の１８５億円まで拡大した。</w:t>
      </w:r>
    </w:p>
    <w:p w:rsidR="00B1625E" w:rsidRPr="007D5D92" w:rsidRDefault="00B1625E" w:rsidP="00B1625E">
      <w:pPr>
        <w:pStyle w:val="a3"/>
        <w:ind w:leftChars="0" w:left="410"/>
        <w:jc w:val="left"/>
      </w:pPr>
    </w:p>
    <w:p w:rsidR="00E619CA" w:rsidRDefault="00E619CA" w:rsidP="00187F1A">
      <w:pPr>
        <w:pStyle w:val="a3"/>
        <w:ind w:leftChars="0" w:left="410"/>
        <w:jc w:val="left"/>
      </w:pPr>
      <w:r>
        <w:rPr>
          <w:rFonts w:hint="eastAsia"/>
        </w:rPr>
        <w:t>○</w:t>
      </w:r>
      <w:r w:rsidR="00B1625E">
        <w:rPr>
          <w:rFonts w:hint="eastAsia"/>
        </w:rPr>
        <w:t>実質公債費比率：</w:t>
      </w:r>
      <w:r w:rsidR="003D11D4">
        <w:rPr>
          <w:rFonts w:hint="eastAsia"/>
        </w:rPr>
        <w:t>市場金利下落</w:t>
      </w:r>
      <w:r w:rsidR="00A52109">
        <w:rPr>
          <w:rFonts w:hint="eastAsia"/>
        </w:rPr>
        <w:t>の恩恵は受けつつも、平成２５年度の大型起債の影響で相殺され、６％台での推移</w:t>
      </w:r>
    </w:p>
    <w:p w:rsidR="00AE235D" w:rsidRDefault="00E619CA" w:rsidP="00E619CA">
      <w:pPr>
        <w:pStyle w:val="a3"/>
        <w:ind w:leftChars="0" w:left="410" w:firstLineChars="900" w:firstLine="1716"/>
        <w:jc w:val="left"/>
      </w:pPr>
      <w:r>
        <w:rPr>
          <w:rFonts w:hint="eastAsia"/>
        </w:rPr>
        <w:t>は</w:t>
      </w:r>
      <w:r w:rsidR="00A52109">
        <w:rPr>
          <w:rFonts w:hint="eastAsia"/>
        </w:rPr>
        <w:t>変わらず。</w:t>
      </w:r>
    </w:p>
    <w:p w:rsidR="00B1625E" w:rsidRDefault="00AE235D" w:rsidP="00187F1A">
      <w:pPr>
        <w:pStyle w:val="a3"/>
        <w:ind w:leftChars="0" w:left="410"/>
        <w:jc w:val="left"/>
      </w:pPr>
      <w:r w:rsidRPr="00A52109">
        <w:rPr>
          <w:noProof/>
        </w:rPr>
        <w:drawing>
          <wp:inline distT="0" distB="0" distL="0" distR="0" wp14:anchorId="7A37BA91" wp14:editId="46FD54E5">
            <wp:extent cx="5476240" cy="10934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240" cy="1093470"/>
                    </a:xfrm>
                    <a:prstGeom prst="rect">
                      <a:avLst/>
                    </a:prstGeom>
                    <a:noFill/>
                    <a:ln>
                      <a:noFill/>
                    </a:ln>
                  </pic:spPr>
                </pic:pic>
              </a:graphicData>
            </a:graphic>
          </wp:inline>
        </w:drawing>
      </w:r>
    </w:p>
    <w:p w:rsidR="00DF03BA" w:rsidRDefault="00DF03BA" w:rsidP="00187F1A">
      <w:pPr>
        <w:pStyle w:val="a3"/>
        <w:ind w:leftChars="0" w:left="410"/>
        <w:jc w:val="left"/>
      </w:pPr>
    </w:p>
    <w:p w:rsidR="00B1625E" w:rsidRPr="00B1625E" w:rsidRDefault="00AB0CE2" w:rsidP="00C74FF8">
      <w:pPr>
        <w:pStyle w:val="a3"/>
        <w:ind w:leftChars="0" w:left="410"/>
        <w:jc w:val="left"/>
      </w:pPr>
      <w:r>
        <w:rPr>
          <w:noProof/>
        </w:rPr>
        <w:lastRenderedPageBreak/>
        <w:drawing>
          <wp:inline distT="0" distB="0" distL="0" distR="0" wp14:anchorId="075B5594" wp14:editId="55EECD2E">
            <wp:extent cx="3737113" cy="1719469"/>
            <wp:effectExtent l="0" t="0" r="15875" b="1460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625E" w:rsidRDefault="00B1625E" w:rsidP="00C74FF8">
      <w:pPr>
        <w:pStyle w:val="a3"/>
        <w:ind w:leftChars="0" w:left="410"/>
        <w:jc w:val="left"/>
      </w:pPr>
    </w:p>
    <w:p w:rsidR="00D24779" w:rsidRDefault="00E619CA" w:rsidP="002460B8">
      <w:pPr>
        <w:pStyle w:val="a3"/>
        <w:ind w:leftChars="0" w:left="410"/>
        <w:jc w:val="left"/>
      </w:pPr>
      <w:r>
        <w:rPr>
          <w:rFonts w:hint="eastAsia"/>
        </w:rPr>
        <w:t>○</w:t>
      </w:r>
      <w:r w:rsidR="005D7C42">
        <w:rPr>
          <w:rFonts w:hint="eastAsia"/>
        </w:rPr>
        <w:t>実質収支：</w:t>
      </w:r>
      <w:r w:rsidR="005D7C42">
        <w:rPr>
          <w:rFonts w:hint="eastAsia"/>
        </w:rPr>
        <w:t xml:space="preserve"> </w:t>
      </w:r>
      <w:r w:rsidR="00E71391">
        <w:rPr>
          <w:rFonts w:hint="eastAsia"/>
        </w:rPr>
        <w:t>直近５年間は黒字を維持。</w:t>
      </w:r>
    </w:p>
    <w:p w:rsidR="00D24779" w:rsidRDefault="00E619CA" w:rsidP="002460B8">
      <w:pPr>
        <w:pStyle w:val="a3"/>
        <w:ind w:leftChars="0" w:left="410"/>
        <w:jc w:val="left"/>
      </w:pPr>
      <w:r>
        <w:rPr>
          <w:rFonts w:hint="eastAsia"/>
        </w:rPr>
        <w:t>○</w:t>
      </w:r>
      <w:r w:rsidR="00B6515B">
        <w:rPr>
          <w:rFonts w:hint="eastAsia"/>
        </w:rPr>
        <w:t>単年度収支</w:t>
      </w:r>
      <w:r w:rsidR="005D7C42">
        <w:rPr>
          <w:rFonts w:hint="eastAsia"/>
        </w:rPr>
        <w:t>：</w:t>
      </w:r>
      <w:r w:rsidR="005D7C42">
        <w:rPr>
          <w:rFonts w:hint="eastAsia"/>
        </w:rPr>
        <w:t xml:space="preserve"> </w:t>
      </w:r>
      <w:r w:rsidR="00E71391">
        <w:rPr>
          <w:rFonts w:hint="eastAsia"/>
        </w:rPr>
        <w:t>直近５年間は黒字と赤字が交互と安定せず。</w:t>
      </w:r>
    </w:p>
    <w:p w:rsidR="00E619CA" w:rsidRDefault="00E619CA" w:rsidP="00E619CA">
      <w:pPr>
        <w:ind w:firstLineChars="200" w:firstLine="381"/>
        <w:jc w:val="left"/>
      </w:pPr>
      <w:r>
        <w:rPr>
          <w:rFonts w:hint="eastAsia"/>
        </w:rPr>
        <w:t>○</w:t>
      </w:r>
      <w:r w:rsidR="00F376A2">
        <w:rPr>
          <w:rFonts w:hint="eastAsia"/>
        </w:rPr>
        <w:t>実質単年度収支：</w:t>
      </w:r>
      <w:r w:rsidR="00F376A2">
        <w:rPr>
          <w:rFonts w:hint="eastAsia"/>
        </w:rPr>
        <w:t xml:space="preserve"> </w:t>
      </w:r>
      <w:r w:rsidR="00E71391">
        <w:rPr>
          <w:rFonts w:hint="eastAsia"/>
        </w:rPr>
        <w:t>直近３年間は赤字。平成２３年度以降、厳しい財政運営の中、</w:t>
      </w:r>
      <w:r w:rsidR="007E2AED">
        <w:rPr>
          <w:rFonts w:hint="eastAsia"/>
        </w:rPr>
        <w:t>財政調整基金</w:t>
      </w:r>
      <w:r w:rsidR="00E71391">
        <w:rPr>
          <w:rFonts w:hint="eastAsia"/>
        </w:rPr>
        <w:t>を取崩し続けており、</w:t>
      </w:r>
    </w:p>
    <w:p w:rsidR="00F376A2" w:rsidRDefault="00E619CA" w:rsidP="00E619CA">
      <w:pPr>
        <w:pStyle w:val="a3"/>
        <w:ind w:leftChars="200" w:left="381" w:firstLineChars="600" w:firstLine="1144"/>
        <w:jc w:val="left"/>
      </w:pPr>
      <w:r>
        <w:rPr>
          <w:rFonts w:hint="eastAsia"/>
        </w:rPr>
        <w:t xml:space="preserve">       </w:t>
      </w:r>
      <w:r w:rsidR="00E71391">
        <w:rPr>
          <w:rFonts w:hint="eastAsia"/>
        </w:rPr>
        <w:t>平成１３年度時点では１６億円を超えていたその残高も、３億円を割り込んだ。</w:t>
      </w:r>
    </w:p>
    <w:p w:rsidR="00B031C4" w:rsidRDefault="00E619CA" w:rsidP="00C74FF8">
      <w:pPr>
        <w:pStyle w:val="a3"/>
        <w:ind w:leftChars="0" w:left="410"/>
        <w:jc w:val="left"/>
      </w:pPr>
      <w:r>
        <w:rPr>
          <w:rFonts w:hint="eastAsia"/>
        </w:rPr>
        <w:t>○</w:t>
      </w:r>
      <w:r w:rsidR="00C74FF8">
        <w:rPr>
          <w:rFonts w:hint="eastAsia"/>
        </w:rPr>
        <w:t>実質収支比率：</w:t>
      </w:r>
      <w:r w:rsidR="00B031C4">
        <w:rPr>
          <w:rFonts w:hint="eastAsia"/>
        </w:rPr>
        <w:t xml:space="preserve"> </w:t>
      </w:r>
      <w:r w:rsidR="00B031C4">
        <w:rPr>
          <w:rFonts w:hint="eastAsia"/>
        </w:rPr>
        <w:t>直近５年間は３～６％台で</w:t>
      </w:r>
      <w:r w:rsidR="00FA6260">
        <w:rPr>
          <w:rFonts w:hint="eastAsia"/>
        </w:rPr>
        <w:t>概ね</w:t>
      </w:r>
      <w:r w:rsidR="00B031C4">
        <w:rPr>
          <w:rFonts w:hint="eastAsia"/>
        </w:rPr>
        <w:t>安定的に推移。</w:t>
      </w:r>
    </w:p>
    <w:p w:rsidR="00B031C4" w:rsidRDefault="00AE235D" w:rsidP="00B51BC3">
      <w:pPr>
        <w:pStyle w:val="a3"/>
        <w:ind w:leftChars="0" w:left="410"/>
        <w:jc w:val="left"/>
      </w:pPr>
      <w:r w:rsidRPr="00E71391">
        <w:rPr>
          <w:noProof/>
        </w:rPr>
        <w:drawing>
          <wp:inline distT="0" distB="0" distL="0" distR="0" wp14:anchorId="2259312A" wp14:editId="52BFE7D5">
            <wp:extent cx="5208270" cy="11328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8270" cy="1132840"/>
                    </a:xfrm>
                    <a:prstGeom prst="rect">
                      <a:avLst/>
                    </a:prstGeom>
                    <a:noFill/>
                    <a:ln>
                      <a:noFill/>
                    </a:ln>
                  </pic:spPr>
                </pic:pic>
              </a:graphicData>
            </a:graphic>
          </wp:inline>
        </w:drawing>
      </w:r>
    </w:p>
    <w:p w:rsidR="007466AF" w:rsidRDefault="007466AF" w:rsidP="00C74FF8">
      <w:pPr>
        <w:pStyle w:val="a3"/>
        <w:ind w:leftChars="0" w:left="410"/>
        <w:jc w:val="left"/>
      </w:pPr>
    </w:p>
    <w:p w:rsidR="004156FF" w:rsidRDefault="00AB0CE2" w:rsidP="00AB0CE2">
      <w:pPr>
        <w:pStyle w:val="a3"/>
        <w:ind w:leftChars="0" w:left="410" w:firstLineChars="100" w:firstLine="191"/>
        <w:jc w:val="left"/>
      </w:pPr>
      <w:r>
        <w:rPr>
          <w:noProof/>
        </w:rPr>
        <w:drawing>
          <wp:inline distT="0" distB="0" distL="0" distR="0" wp14:anchorId="185274AE" wp14:editId="2E5300A4">
            <wp:extent cx="4144617" cy="2584174"/>
            <wp:effectExtent l="0" t="0" r="27940" b="2603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4914" w:rsidRPr="00282F19" w:rsidRDefault="005C4914" w:rsidP="005C4914">
      <w:pPr>
        <w:pStyle w:val="a3"/>
        <w:ind w:leftChars="0" w:left="410"/>
        <w:jc w:val="left"/>
      </w:pPr>
    </w:p>
    <w:p w:rsidR="00E96487" w:rsidRDefault="00E96487" w:rsidP="00E96487">
      <w:pPr>
        <w:tabs>
          <w:tab w:val="left" w:pos="440"/>
        </w:tabs>
        <w:rPr>
          <w:rFonts w:ascii="ＭＳ 明朝" w:hAnsi="ＭＳ 明朝"/>
          <w:bCs/>
        </w:rPr>
      </w:pPr>
      <w:r>
        <w:rPr>
          <w:rFonts w:ascii="ＭＳ 明朝" w:hAnsi="ＭＳ 明朝" w:hint="eastAsia"/>
          <w:bCs/>
        </w:rPr>
        <w:t>３．歳入構造の状況</w:t>
      </w:r>
    </w:p>
    <w:p w:rsidR="00E96487" w:rsidRDefault="00E619CA" w:rsidP="00243FBC">
      <w:pPr>
        <w:pStyle w:val="a3"/>
        <w:ind w:leftChars="0" w:left="410"/>
        <w:jc w:val="left"/>
      </w:pPr>
      <w:r>
        <w:rPr>
          <w:rFonts w:hint="eastAsia"/>
        </w:rPr>
        <w:t>○</w:t>
      </w:r>
      <w:r w:rsidR="00E96487">
        <w:rPr>
          <w:rFonts w:hint="eastAsia"/>
        </w:rPr>
        <w:t>地方税：</w:t>
      </w:r>
      <w:r w:rsidR="00E96487">
        <w:rPr>
          <w:rFonts w:hint="eastAsia"/>
        </w:rPr>
        <w:t xml:space="preserve"> </w:t>
      </w:r>
      <w:r w:rsidR="004769A7">
        <w:rPr>
          <w:rFonts w:hint="eastAsia"/>
        </w:rPr>
        <w:t>直近</w:t>
      </w:r>
      <w:r w:rsidR="00243FBC">
        <w:rPr>
          <w:rFonts w:hint="eastAsia"/>
        </w:rPr>
        <w:t>２</w:t>
      </w:r>
      <w:r w:rsidR="004769A7">
        <w:rPr>
          <w:rFonts w:hint="eastAsia"/>
        </w:rPr>
        <w:t>年間は</w:t>
      </w:r>
      <w:r w:rsidR="00243FBC">
        <w:rPr>
          <w:rFonts w:hint="eastAsia"/>
        </w:rPr>
        <w:t>減少傾向。法人税は３億円内外で横ばい推移も、固定資産税と個人住民税が減少した。</w:t>
      </w:r>
    </w:p>
    <w:p w:rsidR="00E619CA" w:rsidRDefault="00E619CA" w:rsidP="00E96487">
      <w:pPr>
        <w:pStyle w:val="a3"/>
        <w:ind w:leftChars="0" w:left="410"/>
        <w:jc w:val="left"/>
      </w:pPr>
      <w:r>
        <w:rPr>
          <w:rFonts w:hint="eastAsia"/>
        </w:rPr>
        <w:t>○</w:t>
      </w:r>
      <w:r w:rsidR="00962251">
        <w:rPr>
          <w:rFonts w:hint="eastAsia"/>
        </w:rPr>
        <w:t>地方債：</w:t>
      </w:r>
      <w:r w:rsidR="00962251">
        <w:rPr>
          <w:rFonts w:hint="eastAsia"/>
        </w:rPr>
        <w:t xml:space="preserve"> </w:t>
      </w:r>
      <w:r w:rsidR="00962251">
        <w:rPr>
          <w:rFonts w:hint="eastAsia"/>
        </w:rPr>
        <w:t>平成２５年度</w:t>
      </w:r>
      <w:r w:rsidR="00243FBC">
        <w:rPr>
          <w:rFonts w:hint="eastAsia"/>
        </w:rPr>
        <w:t>に土地開発公社の清算に絡み大きく増加したが、それ以外は借入額を償還元金以内に</w:t>
      </w:r>
    </w:p>
    <w:p w:rsidR="00962251" w:rsidRPr="00962251" w:rsidRDefault="00243FBC" w:rsidP="00E619CA">
      <w:pPr>
        <w:pStyle w:val="a3"/>
        <w:ind w:leftChars="0" w:left="410" w:firstLineChars="550" w:firstLine="1049"/>
        <w:jc w:val="left"/>
      </w:pPr>
      <w:r>
        <w:rPr>
          <w:rFonts w:hint="eastAsia"/>
        </w:rPr>
        <w:t>抑える財政計画に従い、１０～１２億円程度に抑制。</w:t>
      </w:r>
    </w:p>
    <w:p w:rsidR="00B55852" w:rsidRDefault="00E619CA" w:rsidP="003D5C5E">
      <w:pPr>
        <w:pStyle w:val="a3"/>
        <w:spacing w:line="360" w:lineRule="auto"/>
        <w:ind w:leftChars="0" w:left="410"/>
        <w:jc w:val="left"/>
      </w:pPr>
      <w:r>
        <w:rPr>
          <w:rFonts w:hint="eastAsia"/>
        </w:rPr>
        <w:t>○</w:t>
      </w:r>
      <w:r w:rsidR="00B55852">
        <w:rPr>
          <w:rFonts w:hint="eastAsia"/>
        </w:rPr>
        <w:t>自主財源</w:t>
      </w:r>
      <w:r w:rsidR="00D24779">
        <w:rPr>
          <w:rFonts w:hint="eastAsia"/>
        </w:rPr>
        <w:t>比率：</w:t>
      </w:r>
      <w:r w:rsidR="00D24779">
        <w:rPr>
          <w:rFonts w:hint="eastAsia"/>
        </w:rPr>
        <w:t xml:space="preserve"> </w:t>
      </w:r>
      <w:r w:rsidR="003D5C5E">
        <w:rPr>
          <w:rFonts w:hint="eastAsia"/>
        </w:rPr>
        <w:t>平成２７年度は</w:t>
      </w:r>
      <w:r w:rsidR="00D24779">
        <w:rPr>
          <w:rFonts w:hint="eastAsia"/>
        </w:rPr>
        <w:t>歳入</w:t>
      </w:r>
      <w:r w:rsidR="003D5C5E">
        <w:rPr>
          <w:rFonts w:hint="eastAsia"/>
        </w:rPr>
        <w:t>総額に対して６０</w:t>
      </w:r>
      <w:r w:rsidR="003D5C5E">
        <w:rPr>
          <w:rFonts w:hint="eastAsia"/>
        </w:rPr>
        <w:t>.</w:t>
      </w:r>
      <w:r w:rsidR="003D5C5E">
        <w:rPr>
          <w:rFonts w:hint="eastAsia"/>
        </w:rPr>
        <w:t>２％</w:t>
      </w:r>
      <w:r w:rsidR="00B55852">
        <w:rPr>
          <w:rFonts w:hint="eastAsia"/>
        </w:rPr>
        <w:t>。</w:t>
      </w:r>
    </w:p>
    <w:p w:rsidR="00E619CA" w:rsidRDefault="00E619CA" w:rsidP="00E96487">
      <w:pPr>
        <w:pStyle w:val="a3"/>
        <w:ind w:leftChars="0" w:left="410"/>
        <w:jc w:val="left"/>
      </w:pPr>
      <w:r>
        <w:rPr>
          <w:rFonts w:hint="eastAsia"/>
        </w:rPr>
        <w:t>○</w:t>
      </w:r>
      <w:r w:rsidR="00E96487">
        <w:rPr>
          <w:rFonts w:hint="eastAsia"/>
        </w:rPr>
        <w:t>徴税率</w:t>
      </w:r>
      <w:r w:rsidR="00D24779">
        <w:rPr>
          <w:rFonts w:hint="eastAsia"/>
        </w:rPr>
        <w:t>：</w:t>
      </w:r>
      <w:r w:rsidR="00D24779">
        <w:rPr>
          <w:rFonts w:hint="eastAsia"/>
        </w:rPr>
        <w:t xml:space="preserve"> </w:t>
      </w:r>
      <w:r w:rsidR="003D5C5E">
        <w:rPr>
          <w:rFonts w:hint="eastAsia"/>
        </w:rPr>
        <w:t>近年の</w:t>
      </w:r>
      <w:r w:rsidR="00B55852">
        <w:rPr>
          <w:rFonts w:hint="eastAsia"/>
        </w:rPr>
        <w:t>現年分９８</w:t>
      </w:r>
      <w:r w:rsidR="003D5C5E">
        <w:rPr>
          <w:rFonts w:hint="eastAsia"/>
        </w:rPr>
        <w:t>％台の半ば。延滞分は徴税業務の強化により平成２３年度の９４</w:t>
      </w:r>
      <w:r w:rsidR="003D5C5E">
        <w:rPr>
          <w:rFonts w:hint="eastAsia"/>
        </w:rPr>
        <w:t>.</w:t>
      </w:r>
      <w:r w:rsidR="003D5C5E">
        <w:rPr>
          <w:rFonts w:hint="eastAsia"/>
        </w:rPr>
        <w:t>０から平成２７年度</w:t>
      </w:r>
    </w:p>
    <w:p w:rsidR="00E96487" w:rsidRDefault="003D5C5E" w:rsidP="00E619CA">
      <w:pPr>
        <w:pStyle w:val="a3"/>
        <w:ind w:leftChars="0" w:left="410" w:firstLineChars="550" w:firstLine="1049"/>
        <w:jc w:val="left"/>
      </w:pPr>
      <w:r>
        <w:rPr>
          <w:rFonts w:hint="eastAsia"/>
        </w:rPr>
        <w:t>には９５</w:t>
      </w:r>
      <w:r>
        <w:rPr>
          <w:rFonts w:hint="eastAsia"/>
        </w:rPr>
        <w:t>.</w:t>
      </w:r>
      <w:r>
        <w:rPr>
          <w:rFonts w:hint="eastAsia"/>
        </w:rPr>
        <w:t>５％まで改善。</w:t>
      </w:r>
    </w:p>
    <w:p w:rsidR="003D5C5E" w:rsidRDefault="00407433" w:rsidP="00E96487">
      <w:pPr>
        <w:pStyle w:val="a3"/>
        <w:ind w:leftChars="0" w:left="410"/>
        <w:jc w:val="left"/>
      </w:pPr>
      <w:r w:rsidRPr="00407433">
        <w:rPr>
          <w:rFonts w:hint="eastAsia"/>
          <w:noProof/>
        </w:rPr>
        <w:lastRenderedPageBreak/>
        <w:drawing>
          <wp:inline distT="0" distB="0" distL="0" distR="0" wp14:anchorId="5A3461EB" wp14:editId="269D5960">
            <wp:extent cx="6659880" cy="1669903"/>
            <wp:effectExtent l="0" t="0" r="0" b="698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1669903"/>
                    </a:xfrm>
                    <a:prstGeom prst="rect">
                      <a:avLst/>
                    </a:prstGeom>
                    <a:noFill/>
                    <a:ln>
                      <a:noFill/>
                    </a:ln>
                  </pic:spPr>
                </pic:pic>
              </a:graphicData>
            </a:graphic>
          </wp:inline>
        </w:drawing>
      </w:r>
    </w:p>
    <w:p w:rsidR="00243FBC" w:rsidRDefault="00243FBC" w:rsidP="00E96487">
      <w:pPr>
        <w:pStyle w:val="a3"/>
        <w:ind w:leftChars="0" w:left="410"/>
        <w:jc w:val="left"/>
      </w:pPr>
    </w:p>
    <w:p w:rsidR="007466AF" w:rsidRDefault="003D5C5E" w:rsidP="00E96487">
      <w:pPr>
        <w:pStyle w:val="a3"/>
        <w:ind w:leftChars="0" w:left="410"/>
        <w:jc w:val="left"/>
      </w:pPr>
      <w:r>
        <w:rPr>
          <w:noProof/>
        </w:rPr>
        <w:drawing>
          <wp:inline distT="0" distB="0" distL="0" distR="0" wp14:anchorId="53D30503">
            <wp:extent cx="4725035" cy="3121660"/>
            <wp:effectExtent l="0" t="0" r="0"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5035" cy="3121660"/>
                    </a:xfrm>
                    <a:prstGeom prst="rect">
                      <a:avLst/>
                    </a:prstGeom>
                    <a:noFill/>
                    <a:ln>
                      <a:noFill/>
                    </a:ln>
                  </pic:spPr>
                </pic:pic>
              </a:graphicData>
            </a:graphic>
          </wp:inline>
        </w:drawing>
      </w:r>
    </w:p>
    <w:p w:rsidR="00E96487" w:rsidRDefault="00E96487" w:rsidP="00E96487">
      <w:pPr>
        <w:pStyle w:val="a3"/>
        <w:ind w:leftChars="0" w:left="410"/>
        <w:jc w:val="left"/>
      </w:pPr>
    </w:p>
    <w:p w:rsidR="00E96487" w:rsidRDefault="00E96487" w:rsidP="00E96487">
      <w:pPr>
        <w:pStyle w:val="a3"/>
        <w:ind w:leftChars="0" w:left="410"/>
        <w:jc w:val="left"/>
      </w:pPr>
    </w:p>
    <w:p w:rsidR="00E96487" w:rsidRDefault="00E96487" w:rsidP="00E96487">
      <w:pPr>
        <w:rPr>
          <w:rFonts w:ascii="ＭＳ 明朝" w:hAnsi="ＭＳ 明朝"/>
          <w:bCs/>
        </w:rPr>
      </w:pPr>
      <w:r>
        <w:rPr>
          <w:rFonts w:ascii="ＭＳ 明朝" w:hAnsi="ＭＳ 明朝" w:hint="eastAsia"/>
          <w:bCs/>
        </w:rPr>
        <w:t>４．歳出構造の状況</w:t>
      </w:r>
    </w:p>
    <w:p w:rsidR="00521222" w:rsidRDefault="00E619CA" w:rsidP="002460B8">
      <w:pPr>
        <w:pStyle w:val="a3"/>
        <w:ind w:leftChars="0" w:left="410"/>
        <w:jc w:val="left"/>
      </w:pPr>
      <w:r>
        <w:rPr>
          <w:rFonts w:hint="eastAsia"/>
        </w:rPr>
        <w:t>◎</w:t>
      </w:r>
      <w:r w:rsidR="00521222">
        <w:rPr>
          <w:rFonts w:hint="eastAsia"/>
        </w:rPr>
        <w:t xml:space="preserve"> </w:t>
      </w:r>
      <w:r w:rsidR="00521222">
        <w:rPr>
          <w:rFonts w:hint="eastAsia"/>
        </w:rPr>
        <w:t>性質別</w:t>
      </w:r>
    </w:p>
    <w:p w:rsidR="00E619CA" w:rsidRDefault="00E619CA" w:rsidP="00E619CA">
      <w:pPr>
        <w:pStyle w:val="a3"/>
        <w:ind w:leftChars="0" w:left="410"/>
        <w:jc w:val="left"/>
      </w:pPr>
      <w:r>
        <w:rPr>
          <w:rFonts w:hint="eastAsia"/>
        </w:rPr>
        <w:t>○</w:t>
      </w:r>
      <w:r w:rsidR="00D169A5">
        <w:rPr>
          <w:rFonts w:hint="eastAsia"/>
        </w:rPr>
        <w:t>人件費：</w:t>
      </w:r>
      <w:r w:rsidR="003D5C5E">
        <w:rPr>
          <w:rFonts w:hint="eastAsia"/>
        </w:rPr>
        <w:t xml:space="preserve"> </w:t>
      </w:r>
      <w:r w:rsidR="003D5C5E">
        <w:rPr>
          <w:rFonts w:hint="eastAsia"/>
        </w:rPr>
        <w:t>定員適正化計画に基づき職員を段階的に削減し、指定管理者制度の導入など</w:t>
      </w:r>
      <w:r w:rsidR="00BC31E4">
        <w:rPr>
          <w:rFonts w:hint="eastAsia"/>
        </w:rPr>
        <w:t>の効果もあり減少傾向、類</w:t>
      </w:r>
    </w:p>
    <w:p w:rsidR="00E619CA" w:rsidRDefault="00BC31E4" w:rsidP="00E619CA">
      <w:pPr>
        <w:pStyle w:val="a3"/>
        <w:ind w:leftChars="0" w:left="410" w:firstLineChars="550" w:firstLine="1049"/>
        <w:jc w:val="left"/>
      </w:pPr>
      <w:r>
        <w:rPr>
          <w:rFonts w:hint="eastAsia"/>
        </w:rPr>
        <w:t>団平均も下回っている。しかしながら</w:t>
      </w:r>
      <w:r w:rsidR="00B111C0">
        <w:rPr>
          <w:rFonts w:hint="eastAsia"/>
        </w:rPr>
        <w:t>ラスパイレス指数は</w:t>
      </w:r>
      <w:r>
        <w:rPr>
          <w:rFonts w:hint="eastAsia"/>
        </w:rPr>
        <w:t>低下傾向にはあるものの、</w:t>
      </w:r>
      <w:r w:rsidR="00A360E1">
        <w:rPr>
          <w:rFonts w:hint="eastAsia"/>
        </w:rPr>
        <w:t>依然として</w:t>
      </w:r>
      <w:r>
        <w:rPr>
          <w:rFonts w:hint="eastAsia"/>
        </w:rPr>
        <w:t>１００</w:t>
      </w:r>
    </w:p>
    <w:p w:rsidR="00B111C0" w:rsidRDefault="00BC31E4" w:rsidP="00E619CA">
      <w:pPr>
        <w:pStyle w:val="a3"/>
        <w:ind w:leftChars="0" w:left="410" w:firstLineChars="550" w:firstLine="1049"/>
        <w:jc w:val="left"/>
      </w:pPr>
      <w:r>
        <w:rPr>
          <w:rFonts w:hint="eastAsia"/>
        </w:rPr>
        <w:t>を超えて</w:t>
      </w:r>
      <w:r w:rsidR="00A761B9">
        <w:rPr>
          <w:rFonts w:hint="eastAsia"/>
        </w:rPr>
        <w:t>いる。</w:t>
      </w:r>
    </w:p>
    <w:p w:rsidR="00E619CA" w:rsidRDefault="00E619CA" w:rsidP="00BC31E4">
      <w:pPr>
        <w:pStyle w:val="a3"/>
        <w:ind w:leftChars="0" w:left="410"/>
        <w:jc w:val="left"/>
      </w:pPr>
      <w:r>
        <w:rPr>
          <w:rFonts w:hint="eastAsia"/>
        </w:rPr>
        <w:t>○</w:t>
      </w:r>
      <w:r w:rsidR="00BC31E4">
        <w:rPr>
          <w:rFonts w:hint="eastAsia"/>
        </w:rPr>
        <w:t>物件費：</w:t>
      </w:r>
      <w:r w:rsidR="00BC31E4">
        <w:rPr>
          <w:rFonts w:hint="eastAsia"/>
        </w:rPr>
        <w:t xml:space="preserve"> </w:t>
      </w:r>
      <w:r w:rsidR="00BC31E4">
        <w:rPr>
          <w:rFonts w:hint="eastAsia"/>
        </w:rPr>
        <w:t>指定管理制度の導入などにより緩やかながら増加基調。人件費＋物件費の合計額で見ると、平成２３年</w:t>
      </w:r>
    </w:p>
    <w:p w:rsidR="00BC31E4" w:rsidRDefault="00BC31E4" w:rsidP="00E619CA">
      <w:pPr>
        <w:pStyle w:val="a3"/>
        <w:ind w:leftChars="0" w:left="410" w:firstLineChars="550" w:firstLine="1049"/>
        <w:jc w:val="left"/>
      </w:pPr>
      <w:r>
        <w:rPr>
          <w:rFonts w:hint="eastAsia"/>
        </w:rPr>
        <w:t>度までは順調に減少してきたが、以降４２～４３億円で足踏み状態。</w:t>
      </w:r>
    </w:p>
    <w:p w:rsidR="00E619CA" w:rsidRDefault="00E619CA" w:rsidP="00627E9B">
      <w:pPr>
        <w:pStyle w:val="a3"/>
        <w:ind w:leftChars="0" w:left="410"/>
        <w:jc w:val="left"/>
        <w:rPr>
          <w:szCs w:val="21"/>
        </w:rPr>
      </w:pPr>
      <w:r>
        <w:rPr>
          <w:rFonts w:hint="eastAsia"/>
          <w:szCs w:val="21"/>
        </w:rPr>
        <w:t>○</w:t>
      </w:r>
      <w:r w:rsidR="00627E9B">
        <w:rPr>
          <w:rFonts w:hint="eastAsia"/>
          <w:szCs w:val="21"/>
        </w:rPr>
        <w:t>扶助費</w:t>
      </w:r>
      <w:r w:rsidR="00B111C0">
        <w:rPr>
          <w:rFonts w:hint="eastAsia"/>
          <w:szCs w:val="21"/>
        </w:rPr>
        <w:t>：</w:t>
      </w:r>
      <w:r w:rsidR="00B111C0">
        <w:rPr>
          <w:rFonts w:hint="eastAsia"/>
          <w:szCs w:val="21"/>
        </w:rPr>
        <w:t xml:space="preserve"> </w:t>
      </w:r>
      <w:r w:rsidR="00627E9B">
        <w:rPr>
          <w:rFonts w:hint="eastAsia"/>
          <w:szCs w:val="21"/>
        </w:rPr>
        <w:t>全国の他市町村同様に</w:t>
      </w:r>
      <w:r w:rsidR="00BC31E4">
        <w:rPr>
          <w:rFonts w:hint="eastAsia"/>
          <w:szCs w:val="21"/>
        </w:rPr>
        <w:t>増加基調。</w:t>
      </w:r>
      <w:r w:rsidR="00627E9B">
        <w:rPr>
          <w:rFonts w:hint="eastAsia"/>
          <w:szCs w:val="21"/>
        </w:rPr>
        <w:t>生活保護費</w:t>
      </w:r>
      <w:r w:rsidR="00BC31E4">
        <w:rPr>
          <w:rFonts w:hint="eastAsia"/>
          <w:szCs w:val="21"/>
        </w:rPr>
        <w:t>の医療扶助や私立保育所委託費、心身障害者福祉費の</w:t>
      </w:r>
      <w:r w:rsidR="00627E9B">
        <w:rPr>
          <w:rFonts w:hint="eastAsia"/>
          <w:szCs w:val="21"/>
        </w:rPr>
        <w:t>増加</w:t>
      </w:r>
    </w:p>
    <w:p w:rsidR="00627E9B" w:rsidRDefault="00627E9B" w:rsidP="00E619CA">
      <w:pPr>
        <w:pStyle w:val="a3"/>
        <w:ind w:leftChars="0" w:left="410" w:firstLineChars="550" w:firstLine="1049"/>
        <w:jc w:val="left"/>
        <w:rPr>
          <w:szCs w:val="21"/>
        </w:rPr>
      </w:pPr>
      <w:r>
        <w:rPr>
          <w:rFonts w:hint="eastAsia"/>
          <w:szCs w:val="21"/>
        </w:rPr>
        <w:t>など</w:t>
      </w:r>
      <w:r w:rsidR="00BC31E4">
        <w:rPr>
          <w:rFonts w:hint="eastAsia"/>
          <w:szCs w:val="21"/>
        </w:rPr>
        <w:t>が背景</w:t>
      </w:r>
      <w:r w:rsidR="00A761B9">
        <w:rPr>
          <w:rFonts w:hint="eastAsia"/>
          <w:szCs w:val="21"/>
        </w:rPr>
        <w:t>か</w:t>
      </w:r>
      <w:r w:rsidR="00BC31E4">
        <w:rPr>
          <w:rFonts w:hint="eastAsia"/>
          <w:szCs w:val="21"/>
        </w:rPr>
        <w:t>。</w:t>
      </w:r>
    </w:p>
    <w:p w:rsidR="00FE1907" w:rsidRDefault="00E619CA" w:rsidP="00FE1907">
      <w:pPr>
        <w:pStyle w:val="a3"/>
        <w:ind w:leftChars="0" w:left="410"/>
        <w:jc w:val="left"/>
      </w:pPr>
      <w:r>
        <w:rPr>
          <w:rFonts w:hint="eastAsia"/>
        </w:rPr>
        <w:t>○</w:t>
      </w:r>
      <w:r w:rsidR="00FE1907">
        <w:rPr>
          <w:rFonts w:hint="eastAsia"/>
        </w:rPr>
        <w:t>投資的経費：</w:t>
      </w:r>
      <w:r w:rsidR="000D7B38">
        <w:rPr>
          <w:rFonts w:hint="eastAsia"/>
        </w:rPr>
        <w:t xml:space="preserve"> </w:t>
      </w:r>
      <w:r w:rsidR="00AE235D">
        <w:rPr>
          <w:rFonts w:hint="eastAsia"/>
        </w:rPr>
        <w:t>公共事業を圧縮、直近５年間は類団平均比を大きく下回る抑制的な運営を継続している。</w:t>
      </w:r>
    </w:p>
    <w:p w:rsidR="003D5C5E" w:rsidRDefault="007C6059" w:rsidP="00FE1907">
      <w:pPr>
        <w:pStyle w:val="a3"/>
        <w:ind w:leftChars="0" w:left="410"/>
        <w:jc w:val="left"/>
      </w:pPr>
      <w:r w:rsidRPr="007C6059">
        <w:rPr>
          <w:noProof/>
        </w:rPr>
        <w:drawing>
          <wp:inline distT="0" distB="0" distL="0" distR="0" wp14:anchorId="49B08F5B" wp14:editId="1578645D">
            <wp:extent cx="6659880" cy="1843800"/>
            <wp:effectExtent l="0" t="0" r="7620" b="444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1843800"/>
                    </a:xfrm>
                    <a:prstGeom prst="rect">
                      <a:avLst/>
                    </a:prstGeom>
                    <a:noFill/>
                    <a:ln>
                      <a:noFill/>
                    </a:ln>
                  </pic:spPr>
                </pic:pic>
              </a:graphicData>
            </a:graphic>
          </wp:inline>
        </w:drawing>
      </w:r>
    </w:p>
    <w:p w:rsidR="007466AF" w:rsidRDefault="007466AF" w:rsidP="00FE1907">
      <w:pPr>
        <w:pStyle w:val="a3"/>
        <w:ind w:leftChars="0" w:left="410"/>
        <w:jc w:val="left"/>
      </w:pPr>
    </w:p>
    <w:p w:rsidR="001C5EFF" w:rsidRDefault="003D5C5E" w:rsidP="00FE1907">
      <w:pPr>
        <w:pStyle w:val="a3"/>
        <w:ind w:leftChars="0" w:left="410"/>
        <w:jc w:val="left"/>
      </w:pPr>
      <w:r>
        <w:rPr>
          <w:noProof/>
        </w:rPr>
        <w:lastRenderedPageBreak/>
        <w:drawing>
          <wp:inline distT="0" distB="0" distL="0" distR="0" wp14:anchorId="497D9E39">
            <wp:extent cx="4542155" cy="2261870"/>
            <wp:effectExtent l="0" t="0" r="0"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2155" cy="2261870"/>
                    </a:xfrm>
                    <a:prstGeom prst="rect">
                      <a:avLst/>
                    </a:prstGeom>
                    <a:noFill/>
                    <a:ln>
                      <a:noFill/>
                    </a:ln>
                  </pic:spPr>
                </pic:pic>
              </a:graphicData>
            </a:graphic>
          </wp:inline>
        </w:drawing>
      </w:r>
    </w:p>
    <w:p w:rsidR="006B6C4D" w:rsidRDefault="006B6C4D" w:rsidP="002460B8">
      <w:pPr>
        <w:pStyle w:val="a3"/>
        <w:ind w:leftChars="0" w:left="410"/>
        <w:jc w:val="left"/>
      </w:pPr>
    </w:p>
    <w:p w:rsidR="00521222" w:rsidRDefault="00521222" w:rsidP="002460B8">
      <w:pPr>
        <w:pStyle w:val="a3"/>
        <w:ind w:leftChars="0" w:left="410"/>
        <w:jc w:val="left"/>
      </w:pPr>
    </w:p>
    <w:p w:rsidR="00521222" w:rsidRDefault="00E619CA" w:rsidP="00521222">
      <w:pPr>
        <w:pStyle w:val="a3"/>
        <w:ind w:leftChars="0" w:left="410"/>
        <w:jc w:val="left"/>
      </w:pPr>
      <w:r>
        <w:rPr>
          <w:rFonts w:hint="eastAsia"/>
        </w:rPr>
        <w:t>◎</w:t>
      </w:r>
      <w:r w:rsidR="00521222">
        <w:rPr>
          <w:rFonts w:hint="eastAsia"/>
        </w:rPr>
        <w:t>目的別</w:t>
      </w:r>
    </w:p>
    <w:p w:rsidR="00C61C76" w:rsidRDefault="00E619CA" w:rsidP="00C61C76">
      <w:pPr>
        <w:pStyle w:val="a3"/>
        <w:ind w:leftChars="0" w:left="410"/>
        <w:jc w:val="left"/>
      </w:pPr>
      <w:r>
        <w:rPr>
          <w:rFonts w:hint="eastAsia"/>
        </w:rPr>
        <w:t>○</w:t>
      </w:r>
      <w:r w:rsidR="00C61C76">
        <w:rPr>
          <w:rFonts w:hint="eastAsia"/>
        </w:rPr>
        <w:t>総務費：</w:t>
      </w:r>
      <w:r w:rsidR="00C61C76">
        <w:rPr>
          <w:rFonts w:hint="eastAsia"/>
        </w:rPr>
        <w:t xml:space="preserve"> </w:t>
      </w:r>
      <w:r w:rsidR="00C61C76">
        <w:rPr>
          <w:rFonts w:hint="eastAsia"/>
        </w:rPr>
        <w:t>人件費削減などに緩やかながらも減少傾向。</w:t>
      </w:r>
    </w:p>
    <w:p w:rsidR="00C61C76" w:rsidRDefault="00E619CA" w:rsidP="00C61C76">
      <w:pPr>
        <w:pStyle w:val="a3"/>
        <w:ind w:leftChars="0" w:left="410"/>
        <w:jc w:val="left"/>
      </w:pPr>
      <w:r>
        <w:rPr>
          <w:rFonts w:hint="eastAsia"/>
        </w:rPr>
        <w:t>○</w:t>
      </w:r>
      <w:r w:rsidR="00C61C76">
        <w:rPr>
          <w:rFonts w:hint="eastAsia"/>
        </w:rPr>
        <w:t>土木費：</w:t>
      </w:r>
      <w:r w:rsidR="00C61C76">
        <w:rPr>
          <w:rFonts w:hint="eastAsia"/>
        </w:rPr>
        <w:t xml:space="preserve"> </w:t>
      </w:r>
      <w:r w:rsidR="00C61C76">
        <w:rPr>
          <w:rFonts w:hint="eastAsia"/>
        </w:rPr>
        <w:t>公共工事抑制の方針等に減少継続。</w:t>
      </w:r>
    </w:p>
    <w:p w:rsidR="00C61C76" w:rsidRDefault="00E619CA" w:rsidP="00C61C76">
      <w:pPr>
        <w:pStyle w:val="a3"/>
        <w:ind w:leftChars="0" w:left="410"/>
        <w:jc w:val="left"/>
      </w:pPr>
      <w:r>
        <w:rPr>
          <w:rFonts w:hint="eastAsia"/>
        </w:rPr>
        <w:t>○</w:t>
      </w:r>
      <w:r w:rsidR="00C61C76">
        <w:rPr>
          <w:rFonts w:hint="eastAsia"/>
        </w:rPr>
        <w:t>民生費：</w:t>
      </w:r>
      <w:r w:rsidR="00C61C76">
        <w:rPr>
          <w:rFonts w:hint="eastAsia"/>
        </w:rPr>
        <w:t xml:space="preserve"> </w:t>
      </w:r>
      <w:r w:rsidR="00C61C76">
        <w:rPr>
          <w:rFonts w:hint="eastAsia"/>
        </w:rPr>
        <w:t>平成２７年度こそ前年度を下回ったものの、依然として増加基調にある。</w:t>
      </w:r>
    </w:p>
    <w:p w:rsidR="00C61C76" w:rsidRDefault="00564AB1" w:rsidP="00C61C76">
      <w:pPr>
        <w:pStyle w:val="a3"/>
        <w:ind w:leftChars="0" w:left="410"/>
        <w:jc w:val="left"/>
      </w:pPr>
      <w:r>
        <w:rPr>
          <w:rFonts w:hint="eastAsia"/>
        </w:rPr>
        <w:t>・</w:t>
      </w:r>
      <w:r w:rsidR="009E4410">
        <w:rPr>
          <w:rFonts w:hint="eastAsia"/>
        </w:rPr>
        <w:t>全区分において、類団平均は下回っており緊縮的な財政運営が継続していることが窺われる。</w:t>
      </w:r>
    </w:p>
    <w:p w:rsidR="007C6059" w:rsidRDefault="00C61C76" w:rsidP="00521222">
      <w:pPr>
        <w:pStyle w:val="a3"/>
        <w:ind w:leftChars="0" w:left="410"/>
        <w:jc w:val="left"/>
      </w:pPr>
      <w:r w:rsidRPr="00C61C76">
        <w:rPr>
          <w:rFonts w:hint="eastAsia"/>
          <w:noProof/>
        </w:rPr>
        <w:drawing>
          <wp:inline distT="0" distB="0" distL="0" distR="0" wp14:anchorId="04C1F1E5" wp14:editId="1F6987B4">
            <wp:extent cx="6659880" cy="200783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9880" cy="2007830"/>
                    </a:xfrm>
                    <a:prstGeom prst="rect">
                      <a:avLst/>
                    </a:prstGeom>
                    <a:noFill/>
                    <a:ln>
                      <a:noFill/>
                    </a:ln>
                  </pic:spPr>
                </pic:pic>
              </a:graphicData>
            </a:graphic>
          </wp:inline>
        </w:drawing>
      </w:r>
    </w:p>
    <w:p w:rsidR="00AE235D" w:rsidRDefault="00AE235D" w:rsidP="00521222">
      <w:pPr>
        <w:pStyle w:val="a3"/>
        <w:ind w:leftChars="0" w:left="410"/>
        <w:jc w:val="left"/>
      </w:pPr>
      <w:r>
        <w:rPr>
          <w:noProof/>
        </w:rPr>
        <w:drawing>
          <wp:inline distT="0" distB="0" distL="0" distR="0" wp14:anchorId="7B79BD41">
            <wp:extent cx="4596765" cy="2225040"/>
            <wp:effectExtent l="0" t="0" r="0" b="381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6765" cy="2225040"/>
                    </a:xfrm>
                    <a:prstGeom prst="rect">
                      <a:avLst/>
                    </a:prstGeom>
                    <a:noFill/>
                    <a:ln>
                      <a:noFill/>
                    </a:ln>
                  </pic:spPr>
                </pic:pic>
              </a:graphicData>
            </a:graphic>
          </wp:inline>
        </w:drawing>
      </w:r>
    </w:p>
    <w:p w:rsidR="00AE235D" w:rsidRDefault="00AE235D" w:rsidP="00521222">
      <w:pPr>
        <w:pStyle w:val="a3"/>
        <w:ind w:leftChars="0" w:left="410"/>
        <w:jc w:val="left"/>
      </w:pPr>
    </w:p>
    <w:p w:rsidR="007466AF" w:rsidRDefault="007466AF" w:rsidP="00521222">
      <w:pPr>
        <w:pStyle w:val="a3"/>
        <w:ind w:leftChars="0" w:left="410"/>
        <w:jc w:val="left"/>
      </w:pPr>
    </w:p>
    <w:p w:rsidR="000F2633" w:rsidRDefault="009E4410" w:rsidP="00E619CA">
      <w:pPr>
        <w:jc w:val="left"/>
      </w:pPr>
      <w:r>
        <w:rPr>
          <w:rFonts w:hint="eastAsia"/>
        </w:rPr>
        <w:t>５．経常収支比率について</w:t>
      </w:r>
    </w:p>
    <w:p w:rsidR="007D7DD0" w:rsidRDefault="00564AB1" w:rsidP="00521222">
      <w:pPr>
        <w:pStyle w:val="a3"/>
        <w:ind w:leftChars="0" w:left="410"/>
        <w:jc w:val="left"/>
      </w:pPr>
      <w:r>
        <w:rPr>
          <w:rFonts w:hint="eastAsia"/>
        </w:rPr>
        <w:t>・</w:t>
      </w:r>
      <w:r w:rsidR="007D7DD0">
        <w:rPr>
          <w:rFonts w:hint="eastAsia"/>
        </w:rPr>
        <w:t>全国で１００を超えている市は６市だけ。南足柄市はそのひとつ。</w:t>
      </w:r>
    </w:p>
    <w:p w:rsidR="00A761B9" w:rsidRDefault="00564AB1" w:rsidP="00A761B9">
      <w:pPr>
        <w:pStyle w:val="a3"/>
        <w:ind w:leftChars="100" w:left="191" w:firstLineChars="100" w:firstLine="191"/>
        <w:jc w:val="left"/>
        <w:rPr>
          <w:rFonts w:hint="eastAsia"/>
        </w:rPr>
      </w:pPr>
      <w:r>
        <w:rPr>
          <w:rFonts w:hint="eastAsia"/>
        </w:rPr>
        <w:t>・</w:t>
      </w:r>
      <w:r w:rsidR="007D7DD0">
        <w:rPr>
          <w:rFonts w:hint="eastAsia"/>
        </w:rPr>
        <w:t>財源で見ると、</w:t>
      </w:r>
      <w:r w:rsidR="009867BE">
        <w:rPr>
          <w:rFonts w:hint="eastAsia"/>
        </w:rPr>
        <w:t>地方税が着実に減少していることが響いている。</w:t>
      </w:r>
    </w:p>
    <w:p w:rsidR="007D7DD0" w:rsidRDefault="009867BE" w:rsidP="00A761B9">
      <w:pPr>
        <w:pStyle w:val="a3"/>
        <w:ind w:leftChars="100" w:left="191" w:firstLineChars="200" w:firstLine="381"/>
        <w:jc w:val="left"/>
      </w:pPr>
      <w:r>
        <w:rPr>
          <w:rFonts w:hint="eastAsia"/>
        </w:rPr>
        <w:t>また、</w:t>
      </w:r>
      <w:r w:rsidR="00421954">
        <w:rPr>
          <w:rFonts w:hint="eastAsia"/>
        </w:rPr>
        <w:t>地方交付税が実額・構成比いずれにおいても、</w:t>
      </w:r>
      <w:r w:rsidR="007D7DD0">
        <w:rPr>
          <w:rFonts w:hint="eastAsia"/>
        </w:rPr>
        <w:t>類団平均</w:t>
      </w:r>
      <w:r w:rsidR="00421954">
        <w:rPr>
          <w:rFonts w:hint="eastAsia"/>
        </w:rPr>
        <w:t>と比べて</w:t>
      </w:r>
      <w:r w:rsidR="007D7DD0">
        <w:rPr>
          <w:rFonts w:hint="eastAsia"/>
        </w:rPr>
        <w:t>著しく少ない。</w:t>
      </w:r>
    </w:p>
    <w:p w:rsidR="00A761B9" w:rsidRDefault="00564AB1" w:rsidP="00A761B9">
      <w:pPr>
        <w:pStyle w:val="a3"/>
        <w:ind w:leftChars="100" w:left="191" w:firstLineChars="100" w:firstLine="191"/>
        <w:jc w:val="left"/>
        <w:rPr>
          <w:rFonts w:hint="eastAsia"/>
        </w:rPr>
      </w:pPr>
      <w:r>
        <w:rPr>
          <w:rFonts w:hint="eastAsia"/>
        </w:rPr>
        <w:t>・</w:t>
      </w:r>
      <w:r w:rsidR="00A761B9">
        <w:rPr>
          <w:rFonts w:hint="eastAsia"/>
        </w:rPr>
        <w:t>性質別の</w:t>
      </w:r>
      <w:r w:rsidR="009867BE">
        <w:rPr>
          <w:rFonts w:hint="eastAsia"/>
        </w:rPr>
        <w:t>経費で見ると、人件費は</w:t>
      </w:r>
      <w:r w:rsidR="006230E4">
        <w:rPr>
          <w:rFonts w:hint="eastAsia"/>
        </w:rPr>
        <w:t>引き続き</w:t>
      </w:r>
      <w:r w:rsidR="009867BE">
        <w:rPr>
          <w:rFonts w:hint="eastAsia"/>
        </w:rPr>
        <w:t>減少傾向にあ</w:t>
      </w:r>
      <w:r w:rsidR="006230E4">
        <w:rPr>
          <w:rFonts w:hint="eastAsia"/>
        </w:rPr>
        <w:t>るが</w:t>
      </w:r>
      <w:r w:rsidR="009867BE">
        <w:rPr>
          <w:rFonts w:hint="eastAsia"/>
        </w:rPr>
        <w:t>、物件費との合計で見</w:t>
      </w:r>
      <w:r w:rsidR="006230E4">
        <w:rPr>
          <w:rFonts w:hint="eastAsia"/>
        </w:rPr>
        <w:t>ると</w:t>
      </w:r>
      <w:r w:rsidR="009867BE">
        <w:rPr>
          <w:rFonts w:hint="eastAsia"/>
        </w:rPr>
        <w:t>下げ止まり。</w:t>
      </w:r>
      <w:r w:rsidR="006230E4">
        <w:rPr>
          <w:rFonts w:hint="eastAsia"/>
        </w:rPr>
        <w:t>扶助費は緩やか</w:t>
      </w:r>
    </w:p>
    <w:p w:rsidR="006230E4" w:rsidRPr="009867BE" w:rsidRDefault="006230E4" w:rsidP="00A761B9">
      <w:pPr>
        <w:pStyle w:val="a3"/>
        <w:ind w:leftChars="100" w:left="191" w:firstLineChars="200" w:firstLine="381"/>
        <w:jc w:val="left"/>
      </w:pPr>
      <w:r>
        <w:rPr>
          <w:rFonts w:hint="eastAsia"/>
        </w:rPr>
        <w:t>ながらも着実に増加中。公債費や補助費、繰出金は横ばい推移に留まっているが、全体では下げ止まりの様相。</w:t>
      </w:r>
    </w:p>
    <w:p w:rsidR="00EE10D7" w:rsidRDefault="00CD591C" w:rsidP="002460B8">
      <w:pPr>
        <w:pStyle w:val="a3"/>
        <w:ind w:leftChars="0" w:left="410"/>
        <w:jc w:val="left"/>
      </w:pPr>
      <w:r w:rsidRPr="00CD591C">
        <w:rPr>
          <w:noProof/>
        </w:rPr>
        <w:lastRenderedPageBreak/>
        <w:drawing>
          <wp:inline distT="0" distB="0" distL="0" distR="0" wp14:anchorId="7E609A4E" wp14:editId="5B0C98DF">
            <wp:extent cx="6659880" cy="475785"/>
            <wp:effectExtent l="0" t="0" r="0" b="63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59880" cy="475785"/>
                    </a:xfrm>
                    <a:prstGeom prst="rect">
                      <a:avLst/>
                    </a:prstGeom>
                    <a:noFill/>
                    <a:ln>
                      <a:noFill/>
                    </a:ln>
                  </pic:spPr>
                </pic:pic>
              </a:graphicData>
            </a:graphic>
          </wp:inline>
        </w:drawing>
      </w:r>
    </w:p>
    <w:p w:rsidR="00D3057E" w:rsidRDefault="00D3057E" w:rsidP="002460B8">
      <w:pPr>
        <w:pStyle w:val="a3"/>
        <w:ind w:leftChars="0" w:left="410"/>
        <w:jc w:val="left"/>
      </w:pPr>
    </w:p>
    <w:p w:rsidR="000C4873" w:rsidRDefault="00CD591C" w:rsidP="0022143B">
      <w:pPr>
        <w:ind w:leftChars="100" w:left="191" w:firstLineChars="100" w:firstLine="191"/>
        <w:jc w:val="left"/>
      </w:pPr>
      <w:r w:rsidRPr="00CD591C">
        <w:rPr>
          <w:rFonts w:hint="eastAsia"/>
          <w:noProof/>
        </w:rPr>
        <w:drawing>
          <wp:inline distT="0" distB="0" distL="0" distR="0" wp14:anchorId="363D378A" wp14:editId="65888092">
            <wp:extent cx="6659880" cy="2724295"/>
            <wp:effectExtent l="0" t="0" r="762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59880" cy="2724295"/>
                    </a:xfrm>
                    <a:prstGeom prst="rect">
                      <a:avLst/>
                    </a:prstGeom>
                    <a:noFill/>
                    <a:ln>
                      <a:noFill/>
                    </a:ln>
                  </pic:spPr>
                </pic:pic>
              </a:graphicData>
            </a:graphic>
          </wp:inline>
        </w:drawing>
      </w:r>
    </w:p>
    <w:p w:rsidR="00CD591C" w:rsidRDefault="00CD591C" w:rsidP="0022143B">
      <w:pPr>
        <w:ind w:leftChars="100" w:left="191" w:firstLineChars="100" w:firstLine="191"/>
        <w:jc w:val="left"/>
      </w:pPr>
      <w:r w:rsidRPr="00CD591C">
        <w:rPr>
          <w:rFonts w:hint="eastAsia"/>
          <w:noProof/>
        </w:rPr>
        <w:drawing>
          <wp:inline distT="0" distB="0" distL="0" distR="0" wp14:anchorId="712E822F" wp14:editId="20453A30">
            <wp:extent cx="6659880" cy="2240106"/>
            <wp:effectExtent l="0" t="0" r="7620" b="825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59880" cy="2240106"/>
                    </a:xfrm>
                    <a:prstGeom prst="rect">
                      <a:avLst/>
                    </a:prstGeom>
                    <a:noFill/>
                    <a:ln>
                      <a:noFill/>
                    </a:ln>
                  </pic:spPr>
                </pic:pic>
              </a:graphicData>
            </a:graphic>
          </wp:inline>
        </w:drawing>
      </w:r>
    </w:p>
    <w:p w:rsidR="00A704A9" w:rsidRDefault="00A704A9" w:rsidP="0022143B">
      <w:pPr>
        <w:ind w:leftChars="100" w:left="191" w:firstLineChars="100" w:firstLine="191"/>
        <w:jc w:val="left"/>
      </w:pPr>
      <w:r w:rsidRPr="00A704A9">
        <w:rPr>
          <w:rFonts w:hint="eastAsia"/>
          <w:noProof/>
        </w:rPr>
        <w:drawing>
          <wp:inline distT="0" distB="0" distL="0" distR="0" wp14:anchorId="1C42E6F8" wp14:editId="4DA370F7">
            <wp:extent cx="6659880" cy="1911586"/>
            <wp:effectExtent l="0" t="0" r="762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59880" cy="1911586"/>
                    </a:xfrm>
                    <a:prstGeom prst="rect">
                      <a:avLst/>
                    </a:prstGeom>
                    <a:noFill/>
                    <a:ln>
                      <a:noFill/>
                    </a:ln>
                  </pic:spPr>
                </pic:pic>
              </a:graphicData>
            </a:graphic>
          </wp:inline>
        </w:drawing>
      </w:r>
    </w:p>
    <w:p w:rsidR="007D7DD0" w:rsidRDefault="007D7DD0" w:rsidP="0022143B">
      <w:pPr>
        <w:ind w:leftChars="100" w:left="191" w:firstLineChars="100" w:firstLine="191"/>
        <w:jc w:val="left"/>
      </w:pPr>
      <w:r w:rsidRPr="007D7DD0">
        <w:rPr>
          <w:rFonts w:hint="eastAsia"/>
          <w:noProof/>
        </w:rPr>
        <w:drawing>
          <wp:inline distT="0" distB="0" distL="0" distR="0" wp14:anchorId="355B5B2B" wp14:editId="0CC56242">
            <wp:extent cx="6659880" cy="1536114"/>
            <wp:effectExtent l="0" t="0" r="7620" b="698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59880" cy="1536114"/>
                    </a:xfrm>
                    <a:prstGeom prst="rect">
                      <a:avLst/>
                    </a:prstGeom>
                    <a:noFill/>
                    <a:ln>
                      <a:noFill/>
                    </a:ln>
                  </pic:spPr>
                </pic:pic>
              </a:graphicData>
            </a:graphic>
          </wp:inline>
        </w:drawing>
      </w:r>
    </w:p>
    <w:p w:rsidR="00C61C76" w:rsidRDefault="006230E4" w:rsidP="006230E4">
      <w:pPr>
        <w:jc w:val="left"/>
      </w:pPr>
      <w:r>
        <w:rPr>
          <w:rFonts w:hint="eastAsia"/>
        </w:rPr>
        <w:lastRenderedPageBreak/>
        <w:t>６．財政健全化判断比率について</w:t>
      </w:r>
    </w:p>
    <w:p w:rsidR="006230E4" w:rsidRDefault="00E619CA" w:rsidP="00E619CA">
      <w:pPr>
        <w:ind w:firstLineChars="200" w:firstLine="381"/>
        <w:jc w:val="left"/>
      </w:pPr>
      <w:r>
        <w:rPr>
          <w:rFonts w:hint="eastAsia"/>
        </w:rPr>
        <w:t>○</w:t>
      </w:r>
      <w:r w:rsidR="006230E4">
        <w:rPr>
          <w:rFonts w:hint="eastAsia"/>
        </w:rPr>
        <w:t>実質赤字比率、連結実質赤字比率：</w:t>
      </w:r>
      <w:r w:rsidR="006230E4">
        <w:rPr>
          <w:rFonts w:hint="eastAsia"/>
        </w:rPr>
        <w:t xml:space="preserve"> </w:t>
      </w:r>
      <w:r w:rsidR="006230E4">
        <w:rPr>
          <w:rFonts w:hint="eastAsia"/>
        </w:rPr>
        <w:t>黒字であり、算定されず。</w:t>
      </w:r>
    </w:p>
    <w:p w:rsidR="006230E4" w:rsidRDefault="00E619CA" w:rsidP="006230E4">
      <w:pPr>
        <w:ind w:firstLineChars="200" w:firstLine="381"/>
        <w:jc w:val="left"/>
      </w:pPr>
      <w:r>
        <w:rPr>
          <w:rFonts w:hint="eastAsia"/>
        </w:rPr>
        <w:t>○</w:t>
      </w:r>
      <w:r w:rsidR="006230E4">
        <w:rPr>
          <w:rFonts w:hint="eastAsia"/>
        </w:rPr>
        <w:t>実質公債費比率：</w:t>
      </w:r>
      <w:r w:rsidR="006230E4">
        <w:rPr>
          <w:rFonts w:hint="eastAsia"/>
        </w:rPr>
        <w:t xml:space="preserve"> </w:t>
      </w:r>
      <w:r w:rsidR="006230E4">
        <w:rPr>
          <w:rFonts w:hint="eastAsia"/>
        </w:rPr>
        <w:t>６％台で安定的に推移。</w:t>
      </w:r>
    </w:p>
    <w:p w:rsidR="00E619CA" w:rsidRDefault="00E619CA" w:rsidP="006230E4">
      <w:pPr>
        <w:ind w:leftChars="200" w:left="572" w:hangingChars="100" w:hanging="191"/>
        <w:jc w:val="left"/>
      </w:pPr>
      <w:r>
        <w:rPr>
          <w:rFonts w:hint="eastAsia"/>
        </w:rPr>
        <w:t>○</w:t>
      </w:r>
      <w:r w:rsidR="006230E4">
        <w:rPr>
          <w:rFonts w:hint="eastAsia"/>
        </w:rPr>
        <w:t>将来負担比率：</w:t>
      </w:r>
      <w:r w:rsidR="006230E4">
        <w:rPr>
          <w:rFonts w:hint="eastAsia"/>
        </w:rPr>
        <w:t xml:space="preserve"> </w:t>
      </w:r>
      <w:r w:rsidR="006230E4">
        <w:rPr>
          <w:rFonts w:hint="eastAsia"/>
        </w:rPr>
        <w:t>平成２１年度の１２７</w:t>
      </w:r>
      <w:r w:rsidR="006230E4">
        <w:rPr>
          <w:rFonts w:hint="eastAsia"/>
        </w:rPr>
        <w:t>.</w:t>
      </w:r>
      <w:r w:rsidR="006230E4">
        <w:rPr>
          <w:rFonts w:hint="eastAsia"/>
        </w:rPr>
        <w:t>１％をピークに、緩やかながら低下傾向にあり、平成２７年度は平成１９</w:t>
      </w:r>
    </w:p>
    <w:p w:rsidR="00E619CA" w:rsidRDefault="006230E4" w:rsidP="00E619CA">
      <w:pPr>
        <w:ind w:leftChars="300" w:left="572" w:firstLineChars="750" w:firstLine="1430"/>
        <w:jc w:val="left"/>
      </w:pPr>
      <w:r>
        <w:rPr>
          <w:rFonts w:hint="eastAsia"/>
        </w:rPr>
        <w:t>年度以来の１００％割れとなった。退職手当負担見込額の減額、地方債残高が僅かながらも減少し</w:t>
      </w:r>
    </w:p>
    <w:p w:rsidR="006230E4" w:rsidRDefault="00A761B9" w:rsidP="00E619CA">
      <w:pPr>
        <w:ind w:firstLineChars="1050" w:firstLine="2002"/>
        <w:jc w:val="left"/>
      </w:pPr>
      <w:r>
        <w:rPr>
          <w:rFonts w:hint="eastAsia"/>
        </w:rPr>
        <w:t>たこと、うち臨財債が増えたことなどが主因か</w:t>
      </w:r>
      <w:r w:rsidR="006230E4">
        <w:rPr>
          <w:rFonts w:hint="eastAsia"/>
        </w:rPr>
        <w:t>。</w:t>
      </w:r>
    </w:p>
    <w:p w:rsidR="00564AB1" w:rsidRPr="00A761B9" w:rsidRDefault="00564AB1" w:rsidP="00E619CA">
      <w:pPr>
        <w:ind w:firstLineChars="1050" w:firstLine="2002"/>
        <w:jc w:val="left"/>
      </w:pPr>
    </w:p>
    <w:p w:rsidR="00564AB1" w:rsidRDefault="006230E4" w:rsidP="00564AB1">
      <w:pPr>
        <w:ind w:leftChars="300" w:left="572" w:firstLineChars="750" w:firstLine="1430"/>
        <w:jc w:val="left"/>
      </w:pPr>
      <w:r>
        <w:rPr>
          <w:rFonts w:hint="eastAsia"/>
        </w:rPr>
        <w:t>平成２５年度に土地開発公社の清算（約６０億円の債務解消）に伴う地方債発行などにより、地方債</w:t>
      </w:r>
    </w:p>
    <w:p w:rsidR="00564AB1" w:rsidRDefault="006230E4" w:rsidP="00564AB1">
      <w:pPr>
        <w:ind w:leftChars="300" w:left="572" w:firstLineChars="750" w:firstLine="1430"/>
        <w:jc w:val="left"/>
      </w:pPr>
      <w:r>
        <w:rPr>
          <w:rFonts w:hint="eastAsia"/>
        </w:rPr>
        <w:t>残高が約５７億円増加したが、平成１９年度以降、当該約６０億円を債務負担行為額として計上済み</w:t>
      </w:r>
    </w:p>
    <w:p w:rsidR="006230E4" w:rsidRDefault="006230E4" w:rsidP="00564AB1">
      <w:pPr>
        <w:ind w:leftChars="300" w:left="572" w:firstLineChars="750" w:firstLine="1430"/>
        <w:jc w:val="left"/>
      </w:pPr>
      <w:r>
        <w:rPr>
          <w:rFonts w:hint="eastAsia"/>
        </w:rPr>
        <w:t>であった</w:t>
      </w:r>
      <w:r w:rsidR="00A761B9">
        <w:rPr>
          <w:rFonts w:hint="eastAsia"/>
        </w:rPr>
        <w:t>ためか</w:t>
      </w:r>
      <w:r>
        <w:rPr>
          <w:rFonts w:hint="eastAsia"/>
        </w:rPr>
        <w:t>、同年度の将来負担比率には影響しなかった。</w:t>
      </w:r>
    </w:p>
    <w:p w:rsidR="00C61C76" w:rsidRDefault="006230E4" w:rsidP="0022143B">
      <w:pPr>
        <w:ind w:leftChars="100" w:left="191" w:firstLineChars="100" w:firstLine="191"/>
        <w:jc w:val="left"/>
      </w:pPr>
      <w:r w:rsidRPr="006230E4">
        <w:rPr>
          <w:noProof/>
        </w:rPr>
        <w:drawing>
          <wp:inline distT="0" distB="0" distL="0" distR="0">
            <wp:extent cx="5476240" cy="49720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240" cy="497205"/>
                    </a:xfrm>
                    <a:prstGeom prst="rect">
                      <a:avLst/>
                    </a:prstGeom>
                    <a:noFill/>
                    <a:ln>
                      <a:noFill/>
                    </a:ln>
                  </pic:spPr>
                </pic:pic>
              </a:graphicData>
            </a:graphic>
          </wp:inline>
        </w:drawing>
      </w:r>
    </w:p>
    <w:p w:rsidR="00AE079E" w:rsidRDefault="00AE079E" w:rsidP="00AE079E">
      <w:pPr>
        <w:jc w:val="left"/>
      </w:pPr>
    </w:p>
    <w:p w:rsidR="00564AB1" w:rsidRDefault="00564AB1" w:rsidP="00AE079E">
      <w:pPr>
        <w:jc w:val="left"/>
      </w:pPr>
    </w:p>
    <w:p w:rsidR="004E4625" w:rsidRPr="00564AB1" w:rsidRDefault="004E4625" w:rsidP="00AE079E">
      <w:pPr>
        <w:jc w:val="left"/>
        <w:rPr>
          <w:b/>
          <w:sz w:val="22"/>
        </w:rPr>
      </w:pPr>
      <w:r w:rsidRPr="00564AB1">
        <w:rPr>
          <w:rFonts w:hint="eastAsia"/>
          <w:b/>
          <w:sz w:val="22"/>
        </w:rPr>
        <w:t>※</w:t>
      </w:r>
      <w:r w:rsidR="00AE079E" w:rsidRPr="00564AB1">
        <w:rPr>
          <w:rFonts w:hint="eastAsia"/>
          <w:b/>
          <w:sz w:val="22"/>
        </w:rPr>
        <w:t>財政健全化判断比率に関する</w:t>
      </w:r>
      <w:r w:rsidRPr="00564AB1">
        <w:rPr>
          <w:rFonts w:hint="eastAsia"/>
          <w:b/>
          <w:sz w:val="22"/>
        </w:rPr>
        <w:t>考察</w:t>
      </w:r>
    </w:p>
    <w:p w:rsidR="00AE079E" w:rsidRDefault="00564AB1" w:rsidP="00367A40">
      <w:pPr>
        <w:jc w:val="left"/>
      </w:pPr>
      <w:r>
        <w:rPr>
          <w:rFonts w:hint="eastAsia"/>
        </w:rPr>
        <w:t>◎</w:t>
      </w:r>
      <w:r w:rsidR="00D67F5F">
        <w:rPr>
          <w:rFonts w:hint="eastAsia"/>
        </w:rPr>
        <w:t>実質赤字</w:t>
      </w:r>
      <w:r w:rsidR="00AE079E">
        <w:rPr>
          <w:rFonts w:hint="eastAsia"/>
        </w:rPr>
        <w:t>について</w:t>
      </w:r>
    </w:p>
    <w:p w:rsidR="008A49F2" w:rsidRDefault="00564AB1" w:rsidP="00564AB1">
      <w:pPr>
        <w:ind w:firstLineChars="100" w:firstLine="191"/>
        <w:jc w:val="left"/>
      </w:pPr>
      <w:r>
        <w:rPr>
          <w:rFonts w:hint="eastAsia"/>
        </w:rPr>
        <w:t>・</w:t>
      </w:r>
      <w:r w:rsidR="00AE079E">
        <w:rPr>
          <w:rFonts w:hint="eastAsia"/>
        </w:rPr>
        <w:t>実質赤字</w:t>
      </w:r>
      <w:r w:rsidR="008A49F2">
        <w:rPr>
          <w:rFonts w:hint="eastAsia"/>
        </w:rPr>
        <w:t>は</w:t>
      </w:r>
      <w:r w:rsidR="00527F37">
        <w:rPr>
          <w:rFonts w:hint="eastAsia"/>
        </w:rPr>
        <w:t>平成２５年度</w:t>
      </w:r>
      <w:r w:rsidR="008A49F2">
        <w:rPr>
          <w:rFonts w:hint="eastAsia"/>
        </w:rPr>
        <w:t>に</w:t>
      </w:r>
      <w:r w:rsidR="00527F37">
        <w:rPr>
          <w:rFonts w:hint="eastAsia"/>
        </w:rPr>
        <w:t>１</w:t>
      </w:r>
      <w:r w:rsidR="008A49F2">
        <w:rPr>
          <w:rFonts w:hint="eastAsia"/>
        </w:rPr>
        <w:t>自治体が計上したものの、平成</w:t>
      </w:r>
      <w:r w:rsidR="00527F37">
        <w:rPr>
          <w:rFonts w:hint="eastAsia"/>
        </w:rPr>
        <w:t>２６年度、２７年度</w:t>
      </w:r>
      <w:r w:rsidR="008A49F2">
        <w:rPr>
          <w:rFonts w:hint="eastAsia"/>
        </w:rPr>
        <w:t>はいずれも</w:t>
      </w:r>
      <w:r w:rsidR="00527F37">
        <w:rPr>
          <w:rFonts w:hint="eastAsia"/>
        </w:rPr>
        <w:t>ゼロ</w:t>
      </w:r>
      <w:r w:rsidR="008A49F2">
        <w:rPr>
          <w:rFonts w:hint="eastAsia"/>
        </w:rPr>
        <w:t>。</w:t>
      </w:r>
    </w:p>
    <w:p w:rsidR="00AE079E" w:rsidRPr="00564AB1" w:rsidRDefault="00564AB1" w:rsidP="00612549">
      <w:pPr>
        <w:ind w:firstLineChars="100" w:firstLine="191"/>
        <w:jc w:val="left"/>
      </w:pPr>
      <w:r>
        <w:rPr>
          <w:rFonts w:hint="eastAsia"/>
        </w:rPr>
        <w:t>・</w:t>
      </w:r>
      <w:r w:rsidR="00D67F5F">
        <w:rPr>
          <w:rFonts w:hint="eastAsia"/>
        </w:rPr>
        <w:t>連結実質赤字</w:t>
      </w:r>
      <w:r w:rsidR="00527F37">
        <w:rPr>
          <w:rFonts w:hint="eastAsia"/>
        </w:rPr>
        <w:t>も平成２５年度は６自治体あったものの、平成２６年度は１、平成２７年度はゼロ。</w:t>
      </w:r>
    </w:p>
    <w:p w:rsidR="00564AB1" w:rsidRDefault="00564AB1" w:rsidP="00564AB1">
      <w:pPr>
        <w:ind w:leftChars="100" w:left="191"/>
        <w:jc w:val="left"/>
      </w:pPr>
      <w:r>
        <w:rPr>
          <w:rFonts w:hint="eastAsia"/>
        </w:rPr>
        <w:t>・</w:t>
      </w:r>
      <w:r w:rsidR="00AE079E">
        <w:rPr>
          <w:rFonts w:hint="eastAsia"/>
        </w:rPr>
        <w:t>実質収支に関しては、結局中央政府からの財源調整の影響を強く受けることから、各自治体の健全性を真に反映してと</w:t>
      </w:r>
    </w:p>
    <w:p w:rsidR="00D67F5F" w:rsidRDefault="00AE079E" w:rsidP="00564AB1">
      <w:pPr>
        <w:ind w:leftChars="100" w:left="191" w:firstLineChars="100" w:firstLine="191"/>
        <w:jc w:val="left"/>
      </w:pPr>
      <w:r>
        <w:rPr>
          <w:rFonts w:hint="eastAsia"/>
        </w:rPr>
        <w:t>は言い難い。最低でも、赤字予備軍に対する警告を早期に発する仕組みが必要ではないかと考える。</w:t>
      </w:r>
    </w:p>
    <w:p w:rsidR="00944616" w:rsidRDefault="00944616" w:rsidP="00367A40">
      <w:pPr>
        <w:jc w:val="left"/>
      </w:pPr>
    </w:p>
    <w:p w:rsidR="00AE079E" w:rsidRDefault="00564AB1" w:rsidP="00367A40">
      <w:pPr>
        <w:jc w:val="left"/>
      </w:pPr>
      <w:r>
        <w:rPr>
          <w:rFonts w:hint="eastAsia"/>
        </w:rPr>
        <w:t>◎</w:t>
      </w:r>
      <w:r w:rsidR="004E4625">
        <w:rPr>
          <w:rFonts w:hint="eastAsia"/>
        </w:rPr>
        <w:t>実質公債費比率と将来負担比率に</w:t>
      </w:r>
      <w:r w:rsidR="00AE079E">
        <w:rPr>
          <w:rFonts w:hint="eastAsia"/>
        </w:rPr>
        <w:t>ついて</w:t>
      </w:r>
    </w:p>
    <w:p w:rsidR="00B05485" w:rsidRDefault="00564AB1" w:rsidP="00564AB1">
      <w:pPr>
        <w:ind w:firstLineChars="100" w:firstLine="191"/>
        <w:jc w:val="left"/>
      </w:pPr>
      <w:r>
        <w:rPr>
          <w:rFonts w:hint="eastAsia"/>
        </w:rPr>
        <w:t>・</w:t>
      </w:r>
      <w:r w:rsidR="00B05485">
        <w:rPr>
          <w:rFonts w:hint="eastAsia"/>
        </w:rPr>
        <w:t>以下のリストは、</w:t>
      </w:r>
      <w:r w:rsidR="00AE079E">
        <w:rPr>
          <w:rFonts w:hint="eastAsia"/>
        </w:rPr>
        <w:t>実質公債費比率と将来負担比率</w:t>
      </w:r>
      <w:r w:rsidR="004E4625">
        <w:rPr>
          <w:rFonts w:hint="eastAsia"/>
        </w:rPr>
        <w:t>おけるワースト１０の市</w:t>
      </w:r>
      <w:r>
        <w:rPr>
          <w:rFonts w:hint="eastAsia"/>
        </w:rPr>
        <w:t>と</w:t>
      </w:r>
      <w:r w:rsidR="00B05485">
        <w:rPr>
          <w:rFonts w:hint="eastAsia"/>
        </w:rPr>
        <w:t>それぞれの水準</w:t>
      </w:r>
      <w:r w:rsidR="00D67F5F">
        <w:rPr>
          <w:rFonts w:hint="eastAsia"/>
        </w:rPr>
        <w:t>。</w:t>
      </w:r>
    </w:p>
    <w:p w:rsidR="004E4625" w:rsidRDefault="00D67F5F" w:rsidP="00B05485">
      <w:pPr>
        <w:ind w:firstLineChars="200" w:firstLine="381"/>
        <w:jc w:val="left"/>
      </w:pPr>
      <w:r>
        <w:rPr>
          <w:rFonts w:hint="eastAsia"/>
        </w:rPr>
        <w:t>いずれも基準を超えているのは北海道夕張市のみ。</w:t>
      </w:r>
    </w:p>
    <w:p w:rsidR="00B05485" w:rsidRDefault="00B05485" w:rsidP="00B05485">
      <w:pPr>
        <w:ind w:leftChars="100" w:left="191"/>
        <w:jc w:val="left"/>
      </w:pPr>
      <w:r>
        <w:rPr>
          <w:rFonts w:hint="eastAsia"/>
        </w:rPr>
        <w:t>・</w:t>
      </w:r>
      <w:r w:rsidR="00367A40">
        <w:rPr>
          <w:rFonts w:hint="eastAsia"/>
        </w:rPr>
        <w:t>実質公債費比率に</w:t>
      </w:r>
      <w:r w:rsidR="00393DDA">
        <w:rPr>
          <w:rFonts w:hint="eastAsia"/>
        </w:rPr>
        <w:t>関</w:t>
      </w:r>
      <w:r w:rsidR="00367A40">
        <w:rPr>
          <w:rFonts w:hint="eastAsia"/>
        </w:rPr>
        <w:t>しては</w:t>
      </w:r>
      <w:r w:rsidR="00393DDA">
        <w:rPr>
          <w:rFonts w:hint="eastAsia"/>
        </w:rPr>
        <w:t>青森県黒石市と大阪府泉佐野市が２２</w:t>
      </w:r>
      <w:r w:rsidR="00393DDA">
        <w:rPr>
          <w:rFonts w:hint="eastAsia"/>
        </w:rPr>
        <w:t>.</w:t>
      </w:r>
      <w:r>
        <w:rPr>
          <w:rFonts w:hint="eastAsia"/>
        </w:rPr>
        <w:t>４％と、早期健全化基準である２５％に迫っている</w:t>
      </w:r>
    </w:p>
    <w:p w:rsidR="008A49F2" w:rsidRDefault="00B05485" w:rsidP="00B05485">
      <w:pPr>
        <w:ind w:leftChars="100" w:left="191" w:firstLineChars="100" w:firstLine="191"/>
        <w:jc w:val="left"/>
      </w:pPr>
      <w:r>
        <w:rPr>
          <w:rFonts w:hint="eastAsia"/>
        </w:rPr>
        <w:t>が、</w:t>
      </w:r>
      <w:r w:rsidR="00393DDA">
        <w:rPr>
          <w:rFonts w:hint="eastAsia"/>
        </w:rPr>
        <w:t>他はすべて２０％以下である。</w:t>
      </w:r>
    </w:p>
    <w:p w:rsidR="00B05485" w:rsidRDefault="00B05485" w:rsidP="00B05485">
      <w:pPr>
        <w:ind w:leftChars="100" w:left="191"/>
        <w:jc w:val="left"/>
      </w:pPr>
      <w:r>
        <w:rPr>
          <w:rFonts w:hint="eastAsia"/>
        </w:rPr>
        <w:t>・</w:t>
      </w:r>
      <w:r w:rsidR="00393DDA">
        <w:rPr>
          <w:rFonts w:hint="eastAsia"/>
        </w:rPr>
        <w:t>将来負担比率に関しても、京都市はじめ５つの市が２００％を超えている</w:t>
      </w:r>
      <w:r>
        <w:rPr>
          <w:rFonts w:hint="eastAsia"/>
        </w:rPr>
        <w:t>が、</w:t>
      </w:r>
      <w:r w:rsidR="00393DDA">
        <w:rPr>
          <w:rFonts w:hint="eastAsia"/>
        </w:rPr>
        <w:t>早期健全化基準である３５０％</w:t>
      </w:r>
      <w:r>
        <w:rPr>
          <w:rFonts w:hint="eastAsia"/>
        </w:rPr>
        <w:t>までには</w:t>
      </w:r>
    </w:p>
    <w:p w:rsidR="008A49F2" w:rsidRDefault="00A65763" w:rsidP="00B05485">
      <w:pPr>
        <w:ind w:leftChars="100" w:left="191" w:firstLineChars="100" w:firstLine="191"/>
        <w:jc w:val="left"/>
      </w:pPr>
      <w:r>
        <w:rPr>
          <w:rFonts w:hint="eastAsia"/>
        </w:rPr>
        <w:t>相当程度の</w:t>
      </w:r>
      <w:r w:rsidR="00B05485">
        <w:rPr>
          <w:rFonts w:hint="eastAsia"/>
        </w:rPr>
        <w:t>余裕がある。</w:t>
      </w:r>
      <w:r w:rsidR="005A6221">
        <w:rPr>
          <w:rFonts w:hint="eastAsia"/>
        </w:rPr>
        <w:t>基準</w:t>
      </w:r>
      <w:r w:rsidR="00B05485">
        <w:rPr>
          <w:rFonts w:hint="eastAsia"/>
        </w:rPr>
        <w:t>の設定が甘過ぎる可能性があり、</w:t>
      </w:r>
      <w:r w:rsidR="005A6221">
        <w:rPr>
          <w:rFonts w:hint="eastAsia"/>
        </w:rPr>
        <w:t>指標が指標の役目を果たしていないように思える。</w:t>
      </w:r>
    </w:p>
    <w:p w:rsidR="00393DDA" w:rsidRPr="00B05485" w:rsidRDefault="00393DDA" w:rsidP="0022143B">
      <w:pPr>
        <w:ind w:leftChars="100" w:left="191" w:firstLineChars="100" w:firstLine="191"/>
        <w:jc w:val="left"/>
      </w:pPr>
    </w:p>
    <w:p w:rsidR="00B05485" w:rsidRDefault="00B05485" w:rsidP="00B05485">
      <w:pPr>
        <w:ind w:leftChars="100" w:left="191"/>
        <w:jc w:val="left"/>
      </w:pPr>
      <w:r>
        <w:rPr>
          <w:rFonts w:hint="eastAsia"/>
        </w:rPr>
        <w:t>・</w:t>
      </w:r>
      <w:r w:rsidR="00393DDA">
        <w:rPr>
          <w:rFonts w:hint="eastAsia"/>
        </w:rPr>
        <w:t>それぞれ健全化法施行前の地方債協議・許可制度において一般単独事業の許可が制限された基準や、地方債の平均償還</w:t>
      </w:r>
    </w:p>
    <w:p w:rsidR="00612549" w:rsidRDefault="00393DDA" w:rsidP="00B05485">
      <w:pPr>
        <w:ind w:leftChars="100" w:left="191" w:firstLineChars="100" w:firstLine="191"/>
        <w:jc w:val="left"/>
      </w:pPr>
      <w:r>
        <w:rPr>
          <w:rFonts w:hint="eastAsia"/>
        </w:rPr>
        <w:t>年数な</w:t>
      </w:r>
      <w:r w:rsidR="00612549">
        <w:rPr>
          <w:rFonts w:hint="eastAsia"/>
        </w:rPr>
        <w:t>どを基に早期健全化基準が設定されている。国と地方いずれもが財政的の</w:t>
      </w:r>
      <w:r>
        <w:rPr>
          <w:rFonts w:hint="eastAsia"/>
        </w:rPr>
        <w:t>逼迫</w:t>
      </w:r>
      <w:r w:rsidR="00612549">
        <w:rPr>
          <w:rFonts w:hint="eastAsia"/>
        </w:rPr>
        <w:t>度合いが</w:t>
      </w:r>
      <w:r w:rsidR="00B05485">
        <w:rPr>
          <w:rFonts w:hint="eastAsia"/>
        </w:rPr>
        <w:t>増し</w:t>
      </w:r>
      <w:r>
        <w:rPr>
          <w:rFonts w:hint="eastAsia"/>
        </w:rPr>
        <w:t>、人口減少・少子高</w:t>
      </w:r>
    </w:p>
    <w:p w:rsidR="00612549" w:rsidRDefault="00393DDA" w:rsidP="00B05485">
      <w:pPr>
        <w:ind w:leftChars="100" w:left="191" w:firstLineChars="100" w:firstLine="191"/>
        <w:jc w:val="left"/>
      </w:pPr>
      <w:r>
        <w:rPr>
          <w:rFonts w:hint="eastAsia"/>
        </w:rPr>
        <w:t>齢化の</w:t>
      </w:r>
      <w:r w:rsidR="00612549">
        <w:rPr>
          <w:rFonts w:hint="eastAsia"/>
        </w:rPr>
        <w:t>一段の</w:t>
      </w:r>
      <w:r>
        <w:rPr>
          <w:rFonts w:hint="eastAsia"/>
        </w:rPr>
        <w:t>進行</w:t>
      </w:r>
      <w:r w:rsidR="00B05485">
        <w:rPr>
          <w:rFonts w:hint="eastAsia"/>
        </w:rPr>
        <w:t>が確実視される</w:t>
      </w:r>
      <w:r w:rsidR="00612549">
        <w:rPr>
          <w:rFonts w:hint="eastAsia"/>
        </w:rPr>
        <w:t>中、今後はよ</w:t>
      </w:r>
      <w:r>
        <w:rPr>
          <w:rFonts w:hint="eastAsia"/>
        </w:rPr>
        <w:t>り一層厳しい</w:t>
      </w:r>
      <w:r w:rsidR="00612549">
        <w:rPr>
          <w:rFonts w:hint="eastAsia"/>
        </w:rPr>
        <w:t>財政</w:t>
      </w:r>
      <w:r>
        <w:rPr>
          <w:rFonts w:hint="eastAsia"/>
        </w:rPr>
        <w:t>状況</w:t>
      </w:r>
      <w:r w:rsidR="00612549">
        <w:rPr>
          <w:rFonts w:hint="eastAsia"/>
        </w:rPr>
        <w:t>が見込まれることから</w:t>
      </w:r>
      <w:r>
        <w:rPr>
          <w:rFonts w:hint="eastAsia"/>
        </w:rPr>
        <w:t>、</w:t>
      </w:r>
      <w:r w:rsidR="00A65763">
        <w:rPr>
          <w:rFonts w:hint="eastAsia"/>
        </w:rPr>
        <w:t>制度</w:t>
      </w:r>
      <w:r w:rsidR="00612549">
        <w:rPr>
          <w:rFonts w:hint="eastAsia"/>
        </w:rPr>
        <w:t>発足から１０年が経</w:t>
      </w:r>
    </w:p>
    <w:p w:rsidR="00612549" w:rsidRDefault="00612549" w:rsidP="00B05485">
      <w:pPr>
        <w:ind w:leftChars="100" w:left="191" w:firstLineChars="100" w:firstLine="191"/>
        <w:jc w:val="left"/>
      </w:pPr>
      <w:r>
        <w:rPr>
          <w:rFonts w:hint="eastAsia"/>
        </w:rPr>
        <w:t>過した今が制度</w:t>
      </w:r>
      <w:r w:rsidR="00393DDA">
        <w:rPr>
          <w:rFonts w:hint="eastAsia"/>
        </w:rPr>
        <w:t>改良の</w:t>
      </w:r>
      <w:r>
        <w:rPr>
          <w:rFonts w:hint="eastAsia"/>
        </w:rPr>
        <w:t>良い機会</w:t>
      </w:r>
      <w:r w:rsidR="00A65763">
        <w:rPr>
          <w:rFonts w:hint="eastAsia"/>
        </w:rPr>
        <w:t>ではないか。</w:t>
      </w:r>
    </w:p>
    <w:p w:rsidR="00612549" w:rsidRDefault="00D67F5F" w:rsidP="00B05485">
      <w:pPr>
        <w:ind w:leftChars="100" w:left="191" w:firstLineChars="100" w:firstLine="191"/>
        <w:jc w:val="left"/>
      </w:pPr>
      <w:r>
        <w:rPr>
          <w:rFonts w:hint="eastAsia"/>
        </w:rPr>
        <w:t>真に地方自治体の財政健全化を図るための規律として</w:t>
      </w:r>
      <w:r w:rsidR="00A65763">
        <w:rPr>
          <w:rFonts w:hint="eastAsia"/>
        </w:rPr>
        <w:t>機能させるためには</w:t>
      </w:r>
      <w:r>
        <w:rPr>
          <w:rFonts w:hint="eastAsia"/>
        </w:rPr>
        <w:t>、</w:t>
      </w:r>
      <w:r w:rsidR="005A6221">
        <w:rPr>
          <w:rFonts w:hint="eastAsia"/>
        </w:rPr>
        <w:t>①</w:t>
      </w:r>
      <w:r w:rsidR="00A65763">
        <w:rPr>
          <w:rFonts w:hint="eastAsia"/>
        </w:rPr>
        <w:t>基準を</w:t>
      </w:r>
      <w:r w:rsidR="008A49F2">
        <w:rPr>
          <w:rFonts w:hint="eastAsia"/>
        </w:rPr>
        <w:t>より厳し</w:t>
      </w:r>
      <w:r w:rsidR="00A65763">
        <w:rPr>
          <w:rFonts w:hint="eastAsia"/>
        </w:rPr>
        <w:t>くする</w:t>
      </w:r>
      <w:r w:rsidR="008A49F2">
        <w:rPr>
          <w:rFonts w:hint="eastAsia"/>
        </w:rPr>
        <w:t>、</w:t>
      </w:r>
      <w:r w:rsidR="005A6221">
        <w:rPr>
          <w:rFonts w:hint="eastAsia"/>
        </w:rPr>
        <w:t>②</w:t>
      </w:r>
      <w:r w:rsidR="00393DDA">
        <w:rPr>
          <w:rFonts w:hint="eastAsia"/>
        </w:rPr>
        <w:t>注意喚起や警</w:t>
      </w:r>
    </w:p>
    <w:p w:rsidR="004E4625" w:rsidRPr="00C61C76" w:rsidRDefault="00393DDA" w:rsidP="00612549">
      <w:pPr>
        <w:ind w:leftChars="200" w:left="381"/>
        <w:jc w:val="left"/>
      </w:pPr>
      <w:r>
        <w:rPr>
          <w:rFonts w:hint="eastAsia"/>
        </w:rPr>
        <w:t>告を促す基準を追加する</w:t>
      </w:r>
      <w:r w:rsidR="008A49F2">
        <w:rPr>
          <w:rFonts w:hint="eastAsia"/>
        </w:rPr>
        <w:t>、</w:t>
      </w:r>
      <w:r w:rsidR="005A6221">
        <w:rPr>
          <w:rFonts w:hint="eastAsia"/>
        </w:rPr>
        <w:t>③</w:t>
      </w:r>
      <w:r>
        <w:rPr>
          <w:rFonts w:hint="eastAsia"/>
        </w:rPr>
        <w:t>基準を追加</w:t>
      </w:r>
      <w:r w:rsidR="00612549">
        <w:rPr>
          <w:rFonts w:hint="eastAsia"/>
        </w:rPr>
        <w:t>した</w:t>
      </w:r>
      <w:r w:rsidR="008A49F2">
        <w:rPr>
          <w:rFonts w:hint="eastAsia"/>
        </w:rPr>
        <w:t>上で</w:t>
      </w:r>
      <w:r w:rsidR="00612549">
        <w:rPr>
          <w:rFonts w:hint="eastAsia"/>
        </w:rPr>
        <w:t>、指標単体ではなく、</w:t>
      </w:r>
      <w:r w:rsidR="008A49F2">
        <w:rPr>
          <w:rFonts w:hint="eastAsia"/>
        </w:rPr>
        <w:t>複数の指標の組み合わせで</w:t>
      </w:r>
      <w:r w:rsidR="00612549">
        <w:rPr>
          <w:rFonts w:hint="eastAsia"/>
        </w:rPr>
        <w:t>注意・</w:t>
      </w:r>
      <w:r w:rsidR="008A49F2">
        <w:rPr>
          <w:rFonts w:hint="eastAsia"/>
        </w:rPr>
        <w:t>警戒を促す</w:t>
      </w:r>
      <w:r w:rsidR="005A6221">
        <w:rPr>
          <w:rFonts w:hint="eastAsia"/>
        </w:rPr>
        <w:t>（</w:t>
      </w:r>
      <w:r w:rsidR="00612549">
        <w:rPr>
          <w:rFonts w:hint="eastAsia"/>
        </w:rPr>
        <w:t>例：</w:t>
      </w:r>
      <w:r w:rsidR="005A6221">
        <w:rPr>
          <w:rFonts w:hint="eastAsia"/>
        </w:rPr>
        <w:t>実質公債費比率ｘｘ％以上且つ将来負担比率ｙｙ％以上）などが考えられよう。</w:t>
      </w:r>
      <w:r w:rsidR="004E4625">
        <w:rPr>
          <w:noProof/>
        </w:rPr>
        <w:drawing>
          <wp:inline distT="0" distB="0" distL="0" distR="0" wp14:anchorId="74D5B389" wp14:editId="7D386530">
            <wp:extent cx="3091070" cy="2703444"/>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098866" cy="2710262"/>
                    </a:xfrm>
                    <a:prstGeom prst="rect">
                      <a:avLst/>
                    </a:prstGeom>
                  </pic:spPr>
                </pic:pic>
              </a:graphicData>
            </a:graphic>
          </wp:inline>
        </w:drawing>
      </w:r>
      <w:r w:rsidR="004E4625">
        <w:rPr>
          <w:noProof/>
        </w:rPr>
        <w:drawing>
          <wp:inline distT="0" distB="0" distL="0" distR="0" wp14:anchorId="3878A7D8" wp14:editId="34B0D5CD">
            <wp:extent cx="3150704" cy="2723320"/>
            <wp:effectExtent l="0" t="0" r="0" b="127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53996" cy="2726166"/>
                    </a:xfrm>
                    <a:prstGeom prst="rect">
                      <a:avLst/>
                    </a:prstGeom>
                  </pic:spPr>
                </pic:pic>
              </a:graphicData>
            </a:graphic>
          </wp:inline>
        </w:drawing>
      </w:r>
    </w:p>
    <w:p w:rsidR="005150C6" w:rsidRDefault="005150C6" w:rsidP="005150C6">
      <w:pPr>
        <w:pStyle w:val="a3"/>
        <w:ind w:leftChars="0" w:left="410"/>
        <w:jc w:val="right"/>
      </w:pPr>
    </w:p>
    <w:p w:rsidR="005A6221" w:rsidRDefault="005A6221" w:rsidP="005150C6">
      <w:pPr>
        <w:pStyle w:val="a3"/>
        <w:ind w:leftChars="0" w:left="410"/>
        <w:jc w:val="right"/>
      </w:pPr>
    </w:p>
    <w:p w:rsidR="005A6221" w:rsidRDefault="00944616" w:rsidP="005A6221">
      <w:pPr>
        <w:jc w:val="left"/>
      </w:pPr>
      <w:r>
        <w:rPr>
          <w:rFonts w:hint="eastAsia"/>
        </w:rPr>
        <w:t>◎</w:t>
      </w:r>
      <w:r w:rsidR="005A6221">
        <w:rPr>
          <w:rFonts w:hint="eastAsia"/>
        </w:rPr>
        <w:t>財務省</w:t>
      </w:r>
      <w:r w:rsidR="005A6221">
        <w:rPr>
          <w:rFonts w:hint="eastAsia"/>
        </w:rPr>
        <w:t xml:space="preserve"> </w:t>
      </w:r>
      <w:r w:rsidR="005A6221">
        <w:rPr>
          <w:rFonts w:hint="eastAsia"/>
        </w:rPr>
        <w:t>財務状況把握の４つの財務指標について</w:t>
      </w:r>
    </w:p>
    <w:p w:rsidR="008A49F2" w:rsidRDefault="008A49F2" w:rsidP="008A49F2">
      <w:pPr>
        <w:pStyle w:val="a3"/>
        <w:ind w:leftChars="0" w:left="410"/>
        <w:jc w:val="left"/>
      </w:pPr>
      <w:r w:rsidRPr="008A49F2">
        <w:rPr>
          <w:rFonts w:hint="eastAsia"/>
          <w:noProof/>
        </w:rPr>
        <w:drawing>
          <wp:inline distT="0" distB="0" distL="0" distR="0" wp14:anchorId="542DAF94" wp14:editId="77B5931C">
            <wp:extent cx="6659210" cy="1023730"/>
            <wp:effectExtent l="0" t="0" r="8890" b="508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59880" cy="1023833"/>
                    </a:xfrm>
                    <a:prstGeom prst="rect">
                      <a:avLst/>
                    </a:prstGeom>
                    <a:noFill/>
                    <a:ln>
                      <a:noFill/>
                    </a:ln>
                  </pic:spPr>
                </pic:pic>
              </a:graphicData>
            </a:graphic>
          </wp:inline>
        </w:drawing>
      </w:r>
    </w:p>
    <w:p w:rsidR="00D37CAD" w:rsidRDefault="0035610F" w:rsidP="008A49F2">
      <w:pPr>
        <w:pStyle w:val="a3"/>
        <w:ind w:leftChars="0" w:left="410"/>
        <w:jc w:val="left"/>
      </w:pPr>
      <w:r>
        <w:rPr>
          <w:rFonts w:hint="eastAsia"/>
        </w:rPr>
        <w:t>・</w:t>
      </w:r>
      <w:r w:rsidR="00213E26">
        <w:rPr>
          <w:rFonts w:hint="eastAsia"/>
        </w:rPr>
        <w:t>平成２８年度ヒアリング実施団体数</w:t>
      </w:r>
      <w:r w:rsidR="00213E26">
        <w:rPr>
          <w:rFonts w:hint="eastAsia"/>
        </w:rPr>
        <w:t xml:space="preserve"> </w:t>
      </w:r>
      <w:r w:rsidR="00213E26">
        <w:rPr>
          <w:rFonts w:hint="eastAsia"/>
        </w:rPr>
        <w:t>３３３</w:t>
      </w:r>
    </w:p>
    <w:p w:rsidR="008A49F2" w:rsidRDefault="00D37CAD" w:rsidP="00D37CAD">
      <w:pPr>
        <w:pStyle w:val="a3"/>
        <w:ind w:leftChars="0" w:left="410" w:firstLineChars="100" w:firstLine="191"/>
        <w:jc w:val="left"/>
      </w:pPr>
      <w:r>
        <w:rPr>
          <w:rFonts w:hint="eastAsia"/>
        </w:rPr>
        <w:t>その</w:t>
      </w:r>
      <w:r w:rsidR="00213E26">
        <w:rPr>
          <w:rFonts w:hint="eastAsia"/>
        </w:rPr>
        <w:t>うち財務上の問題に該当</w:t>
      </w:r>
      <w:r>
        <w:rPr>
          <w:rFonts w:hint="eastAsia"/>
        </w:rPr>
        <w:t>とされた自治体数</w:t>
      </w:r>
      <w:r w:rsidR="00213E26">
        <w:rPr>
          <w:rFonts w:hint="eastAsia"/>
        </w:rPr>
        <w:t xml:space="preserve"> </w:t>
      </w:r>
      <w:r w:rsidR="00213E26">
        <w:rPr>
          <w:rFonts w:hint="eastAsia"/>
        </w:rPr>
        <w:t>４３（複数該当</w:t>
      </w:r>
      <w:r>
        <w:rPr>
          <w:rFonts w:hint="eastAsia"/>
        </w:rPr>
        <w:t>の</w:t>
      </w:r>
      <w:r w:rsidR="00213E26">
        <w:rPr>
          <w:rFonts w:hint="eastAsia"/>
        </w:rPr>
        <w:t>自治体あり）</w:t>
      </w:r>
    </w:p>
    <w:p w:rsidR="00213E26" w:rsidRDefault="00213E26" w:rsidP="008A49F2">
      <w:pPr>
        <w:pStyle w:val="a3"/>
        <w:ind w:leftChars="0" w:left="410"/>
        <w:jc w:val="left"/>
      </w:pPr>
      <w:r>
        <w:rPr>
          <w:rFonts w:hint="eastAsia"/>
        </w:rPr>
        <w:t xml:space="preserve">  </w:t>
      </w:r>
      <w:r w:rsidR="00D37CAD">
        <w:rPr>
          <w:rFonts w:hint="eastAsia"/>
        </w:rPr>
        <w:t>内訳は、</w:t>
      </w:r>
      <w:r>
        <w:rPr>
          <w:rFonts w:hint="eastAsia"/>
        </w:rPr>
        <w:t>債務高水準</w:t>
      </w:r>
      <w:r>
        <w:rPr>
          <w:rFonts w:hint="eastAsia"/>
        </w:rPr>
        <w:t xml:space="preserve"> </w:t>
      </w:r>
      <w:r>
        <w:rPr>
          <w:rFonts w:hint="eastAsia"/>
        </w:rPr>
        <w:t>１０、収支低水準</w:t>
      </w:r>
      <w:r>
        <w:rPr>
          <w:rFonts w:hint="eastAsia"/>
        </w:rPr>
        <w:t xml:space="preserve"> </w:t>
      </w:r>
      <w:r>
        <w:rPr>
          <w:rFonts w:hint="eastAsia"/>
        </w:rPr>
        <w:t>２６</w:t>
      </w:r>
      <w:r w:rsidR="0035610F">
        <w:rPr>
          <w:rFonts w:hint="eastAsia"/>
        </w:rPr>
        <w:t>、積立低水準</w:t>
      </w:r>
      <w:r w:rsidR="0035610F">
        <w:rPr>
          <w:rFonts w:hint="eastAsia"/>
        </w:rPr>
        <w:t xml:space="preserve"> </w:t>
      </w:r>
      <w:r w:rsidR="0035610F">
        <w:rPr>
          <w:rFonts w:hint="eastAsia"/>
        </w:rPr>
        <w:t>３２、</w:t>
      </w:r>
    </w:p>
    <w:p w:rsidR="00D57C29" w:rsidRDefault="00D57C29" w:rsidP="008A49F2">
      <w:pPr>
        <w:pStyle w:val="a3"/>
        <w:ind w:leftChars="0" w:left="410"/>
        <w:jc w:val="left"/>
      </w:pPr>
    </w:p>
    <w:p w:rsidR="008A49F2" w:rsidRPr="00D37CAD" w:rsidRDefault="00D57C29" w:rsidP="008A49F2">
      <w:pPr>
        <w:pStyle w:val="a3"/>
        <w:ind w:leftChars="0" w:left="410"/>
        <w:jc w:val="left"/>
      </w:pPr>
      <w:r w:rsidRPr="00D57C29">
        <w:rPr>
          <w:noProof/>
        </w:rPr>
        <w:drawing>
          <wp:inline distT="0" distB="0" distL="0" distR="0">
            <wp:extent cx="4780915" cy="1113155"/>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80915" cy="1113155"/>
                    </a:xfrm>
                    <a:prstGeom prst="rect">
                      <a:avLst/>
                    </a:prstGeom>
                    <a:noFill/>
                    <a:ln>
                      <a:noFill/>
                    </a:ln>
                  </pic:spPr>
                </pic:pic>
              </a:graphicData>
            </a:graphic>
          </wp:inline>
        </w:drawing>
      </w:r>
    </w:p>
    <w:p w:rsidR="00D57C29" w:rsidRDefault="00D57C29" w:rsidP="008A49F2">
      <w:pPr>
        <w:pStyle w:val="a3"/>
        <w:ind w:leftChars="0" w:left="410"/>
        <w:jc w:val="left"/>
      </w:pPr>
    </w:p>
    <w:p w:rsidR="008A49F2" w:rsidRDefault="009575BB" w:rsidP="008A49F2">
      <w:pPr>
        <w:pStyle w:val="a3"/>
        <w:ind w:leftChars="0" w:left="410"/>
        <w:jc w:val="left"/>
      </w:pPr>
      <w:r>
        <w:rPr>
          <w:rFonts w:hint="eastAsia"/>
        </w:rPr>
        <w:t>・</w:t>
      </w:r>
      <w:r w:rsidR="008A49F2">
        <w:rPr>
          <w:rFonts w:hint="eastAsia"/>
        </w:rPr>
        <w:t>南足柄市の数値</w:t>
      </w:r>
    </w:p>
    <w:p w:rsidR="008A49F2" w:rsidRDefault="009575BB" w:rsidP="008A49F2">
      <w:pPr>
        <w:pStyle w:val="a3"/>
        <w:ind w:leftChars="0" w:left="410"/>
        <w:jc w:val="left"/>
      </w:pPr>
      <w:r>
        <w:rPr>
          <w:rFonts w:hint="eastAsia"/>
        </w:rPr>
        <w:t xml:space="preserve">  </w:t>
      </w:r>
      <w:r w:rsidR="008A49F2" w:rsidRPr="008A49F2">
        <w:rPr>
          <w:rFonts w:hint="eastAsia"/>
          <w:noProof/>
        </w:rPr>
        <w:drawing>
          <wp:inline distT="0" distB="0" distL="0" distR="0">
            <wp:extent cx="3558014" cy="795130"/>
            <wp:effectExtent l="0" t="0" r="4445" b="508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57905" cy="795106"/>
                    </a:xfrm>
                    <a:prstGeom prst="rect">
                      <a:avLst/>
                    </a:prstGeom>
                    <a:noFill/>
                    <a:ln>
                      <a:noFill/>
                    </a:ln>
                  </pic:spPr>
                </pic:pic>
              </a:graphicData>
            </a:graphic>
          </wp:inline>
        </w:drawing>
      </w:r>
    </w:p>
    <w:p w:rsidR="001761AD" w:rsidRDefault="001761AD" w:rsidP="008A49F2">
      <w:pPr>
        <w:pStyle w:val="a3"/>
        <w:ind w:leftChars="0" w:left="410"/>
        <w:jc w:val="left"/>
      </w:pPr>
    </w:p>
    <w:p w:rsidR="001761AD" w:rsidRDefault="009575BB" w:rsidP="008A49F2">
      <w:pPr>
        <w:pStyle w:val="a3"/>
        <w:ind w:leftChars="0" w:left="410"/>
        <w:jc w:val="left"/>
      </w:pPr>
      <w:r>
        <w:rPr>
          <w:rFonts w:hint="eastAsia"/>
        </w:rPr>
        <w:t>・類団との比較は</w:t>
      </w:r>
      <w:r w:rsidR="001761AD">
        <w:rPr>
          <w:rFonts w:hint="eastAsia"/>
        </w:rPr>
        <w:t>ない</w:t>
      </w:r>
      <w:r>
        <w:rPr>
          <w:rFonts w:hint="eastAsia"/>
        </w:rPr>
        <w:t>が、</w:t>
      </w:r>
      <w:r w:rsidR="00D57C29">
        <w:rPr>
          <w:rFonts w:hint="eastAsia"/>
        </w:rPr>
        <w:t>全体平均との比較も含め、それぞれの</w:t>
      </w:r>
      <w:r>
        <w:rPr>
          <w:rFonts w:hint="eastAsia"/>
        </w:rPr>
        <w:t>基準に照らすと、</w:t>
      </w:r>
    </w:p>
    <w:p w:rsidR="00F0315E" w:rsidRDefault="009575BB" w:rsidP="00F0315E">
      <w:pPr>
        <w:pStyle w:val="a3"/>
        <w:ind w:leftChars="0" w:left="410"/>
        <w:jc w:val="left"/>
      </w:pPr>
      <w:r>
        <w:rPr>
          <w:rFonts w:hint="eastAsia"/>
        </w:rPr>
        <w:t xml:space="preserve">  </w:t>
      </w:r>
      <w:r w:rsidR="00F0315E">
        <w:rPr>
          <w:rFonts w:hint="eastAsia"/>
        </w:rPr>
        <w:t xml:space="preserve">  </w:t>
      </w:r>
      <w:r>
        <w:rPr>
          <w:rFonts w:hint="eastAsia"/>
        </w:rPr>
        <w:t>債務償還能力を測る債務償還可能年数は、</w:t>
      </w:r>
      <w:r w:rsidR="00F0315E">
        <w:rPr>
          <w:rFonts w:hint="eastAsia"/>
        </w:rPr>
        <w:t>平均は上回っているが、</w:t>
      </w:r>
      <w:r>
        <w:rPr>
          <w:rFonts w:hint="eastAsia"/>
        </w:rPr>
        <w:t>基準１５年に対し</w:t>
      </w:r>
      <w:r w:rsidR="00F0315E">
        <w:rPr>
          <w:rFonts w:hint="eastAsia"/>
        </w:rPr>
        <w:t>て</w:t>
      </w:r>
      <w:r>
        <w:rPr>
          <w:rFonts w:hint="eastAsia"/>
        </w:rPr>
        <w:t>８</w:t>
      </w:r>
      <w:r>
        <w:rPr>
          <w:rFonts w:hint="eastAsia"/>
        </w:rPr>
        <w:t>.</w:t>
      </w:r>
      <w:r>
        <w:rPr>
          <w:rFonts w:hint="eastAsia"/>
        </w:rPr>
        <w:t>６年</w:t>
      </w:r>
      <w:r w:rsidR="00F0315E">
        <w:rPr>
          <w:rFonts w:hint="eastAsia"/>
        </w:rPr>
        <w:t>は</w:t>
      </w:r>
      <w:r>
        <w:rPr>
          <w:rFonts w:hint="eastAsia"/>
        </w:rPr>
        <w:t>特段問題</w:t>
      </w:r>
      <w:r w:rsidR="00F0315E">
        <w:rPr>
          <w:rFonts w:hint="eastAsia"/>
        </w:rPr>
        <w:t>のない</w:t>
      </w:r>
    </w:p>
    <w:p w:rsidR="009575BB" w:rsidRDefault="00F0315E" w:rsidP="00F0315E">
      <w:pPr>
        <w:pStyle w:val="a3"/>
        <w:ind w:leftChars="0" w:left="410" w:firstLineChars="200" w:firstLine="381"/>
        <w:jc w:val="left"/>
      </w:pPr>
      <w:r>
        <w:rPr>
          <w:rFonts w:hint="eastAsia"/>
        </w:rPr>
        <w:t>水準か</w:t>
      </w:r>
      <w:r w:rsidR="009575BB">
        <w:rPr>
          <w:rFonts w:hint="eastAsia"/>
        </w:rPr>
        <w:t>。</w:t>
      </w:r>
    </w:p>
    <w:p w:rsidR="00F0315E" w:rsidRDefault="009575BB" w:rsidP="00F0315E">
      <w:pPr>
        <w:pStyle w:val="a3"/>
        <w:ind w:leftChars="0" w:left="410"/>
        <w:jc w:val="left"/>
      </w:pPr>
      <w:r>
        <w:rPr>
          <w:rFonts w:hint="eastAsia"/>
        </w:rPr>
        <w:t xml:space="preserve">  </w:t>
      </w:r>
      <w:r w:rsidR="00F0315E">
        <w:rPr>
          <w:rFonts w:hint="eastAsia"/>
        </w:rPr>
        <w:t xml:space="preserve">  </w:t>
      </w:r>
      <w:r>
        <w:rPr>
          <w:rFonts w:hint="eastAsia"/>
        </w:rPr>
        <w:t>債務の大きさを測る実質債務月収倍率は、</w:t>
      </w:r>
      <w:r w:rsidR="00F0315E">
        <w:rPr>
          <w:rFonts w:hint="eastAsia"/>
        </w:rPr>
        <w:t>平均を大きく上回り、</w:t>
      </w:r>
      <w:r>
        <w:rPr>
          <w:rFonts w:hint="eastAsia"/>
        </w:rPr>
        <w:t>基準２４月と１８月に対して１４</w:t>
      </w:r>
      <w:r>
        <w:rPr>
          <w:rFonts w:hint="eastAsia"/>
        </w:rPr>
        <w:t>.</w:t>
      </w:r>
      <w:r>
        <w:rPr>
          <w:rFonts w:hint="eastAsia"/>
        </w:rPr>
        <w:t>５月</w:t>
      </w:r>
      <w:r w:rsidR="00F0315E">
        <w:rPr>
          <w:rFonts w:hint="eastAsia"/>
        </w:rPr>
        <w:t>は</w:t>
      </w:r>
      <w:r>
        <w:rPr>
          <w:rFonts w:hint="eastAsia"/>
        </w:rPr>
        <w:t>危険域</w:t>
      </w:r>
    </w:p>
    <w:p w:rsidR="009575BB" w:rsidRPr="009575BB" w:rsidRDefault="00B71E2D" w:rsidP="00F0315E">
      <w:pPr>
        <w:pStyle w:val="a3"/>
        <w:ind w:leftChars="0" w:left="410" w:firstLineChars="200" w:firstLine="381"/>
        <w:jc w:val="left"/>
      </w:pPr>
      <w:r>
        <w:rPr>
          <w:rFonts w:hint="eastAsia"/>
        </w:rPr>
        <w:t>と位置付けられそう。</w:t>
      </w:r>
    </w:p>
    <w:p w:rsidR="00F0315E" w:rsidRDefault="009575BB" w:rsidP="00F0315E">
      <w:pPr>
        <w:pStyle w:val="a3"/>
        <w:ind w:leftChars="100" w:left="191" w:firstLineChars="300" w:firstLine="572"/>
        <w:jc w:val="left"/>
      </w:pPr>
      <w:r>
        <w:rPr>
          <w:rFonts w:hint="eastAsia"/>
        </w:rPr>
        <w:t>資金繰り</w:t>
      </w:r>
      <w:r w:rsidR="00FC38B3">
        <w:rPr>
          <w:rFonts w:hint="eastAsia"/>
        </w:rPr>
        <w:t>余力を測る積立金等月収倍率は、</w:t>
      </w:r>
      <w:r w:rsidR="00F0315E">
        <w:rPr>
          <w:rFonts w:hint="eastAsia"/>
        </w:rPr>
        <w:t>平均の半分以下であり、</w:t>
      </w:r>
      <w:r w:rsidR="00FC38B3">
        <w:rPr>
          <w:rFonts w:hint="eastAsia"/>
        </w:rPr>
        <w:t>基準１ｹ月と３ｹ月に対して２</w:t>
      </w:r>
      <w:r w:rsidR="00FC38B3">
        <w:rPr>
          <w:rFonts w:hint="eastAsia"/>
        </w:rPr>
        <w:t>.</w:t>
      </w:r>
      <w:r w:rsidR="00FC38B3">
        <w:rPr>
          <w:rFonts w:hint="eastAsia"/>
        </w:rPr>
        <w:t>１月</w:t>
      </w:r>
      <w:r w:rsidR="00F0315E">
        <w:rPr>
          <w:rFonts w:hint="eastAsia"/>
        </w:rPr>
        <w:t>は</w:t>
      </w:r>
      <w:r w:rsidR="00FC38B3">
        <w:rPr>
          <w:rFonts w:hint="eastAsia"/>
        </w:rPr>
        <w:t>ほぼ</w:t>
      </w:r>
      <w:r w:rsidR="00FC38B3">
        <w:t>”</w:t>
      </w:r>
      <w:r w:rsidR="00FC38B3">
        <w:rPr>
          <w:rFonts w:hint="eastAsia"/>
        </w:rPr>
        <w:t>財務</w:t>
      </w:r>
    </w:p>
    <w:p w:rsidR="009575BB" w:rsidRDefault="00FC38B3" w:rsidP="00F0315E">
      <w:pPr>
        <w:pStyle w:val="a3"/>
        <w:ind w:leftChars="100" w:left="191" w:firstLineChars="300" w:firstLine="572"/>
        <w:jc w:val="left"/>
      </w:pPr>
      <w:r>
        <w:rPr>
          <w:rFonts w:hint="eastAsia"/>
        </w:rPr>
        <w:t>上の問題に該当</w:t>
      </w:r>
      <w:r>
        <w:t>”</w:t>
      </w:r>
      <w:r>
        <w:rPr>
          <w:rFonts w:hint="eastAsia"/>
        </w:rPr>
        <w:t>していると見なし得る水準。</w:t>
      </w:r>
    </w:p>
    <w:p w:rsidR="00F0315E" w:rsidRDefault="00FC38B3" w:rsidP="00F0315E">
      <w:pPr>
        <w:pStyle w:val="a3"/>
        <w:ind w:leftChars="0" w:left="410" w:firstLineChars="200" w:firstLine="381"/>
        <w:jc w:val="left"/>
      </w:pPr>
      <w:r>
        <w:rPr>
          <w:rFonts w:hint="eastAsia"/>
        </w:rPr>
        <w:t>償還原資の大きさを測る行政経常収支率は、基準０％と１０％に対して１４％とこちらも危険域と位置付けられ</w:t>
      </w:r>
    </w:p>
    <w:p w:rsidR="00FC38B3" w:rsidRDefault="00FC38B3" w:rsidP="00F0315E">
      <w:pPr>
        <w:pStyle w:val="a3"/>
        <w:ind w:leftChars="0" w:left="410" w:firstLineChars="200" w:firstLine="381"/>
        <w:jc w:val="left"/>
      </w:pPr>
      <w:r>
        <w:rPr>
          <w:rFonts w:hint="eastAsia"/>
        </w:rPr>
        <w:t>そう</w:t>
      </w:r>
      <w:r w:rsidR="00F0315E">
        <w:rPr>
          <w:rFonts w:hint="eastAsia"/>
        </w:rPr>
        <w:t>だが、平均が１２</w:t>
      </w:r>
      <w:r w:rsidR="00F0315E">
        <w:rPr>
          <w:rFonts w:hint="eastAsia"/>
        </w:rPr>
        <w:t>.</w:t>
      </w:r>
      <w:r w:rsidR="00F0315E">
        <w:rPr>
          <w:rFonts w:hint="eastAsia"/>
        </w:rPr>
        <w:t>８％と基準に到達しそうであり、相対的には格別悪くはない水準か</w:t>
      </w:r>
      <w:r>
        <w:rPr>
          <w:rFonts w:hint="eastAsia"/>
        </w:rPr>
        <w:t>。</w:t>
      </w:r>
    </w:p>
    <w:p w:rsidR="0052151B" w:rsidRDefault="0052151B" w:rsidP="00F0315E">
      <w:pPr>
        <w:pStyle w:val="a3"/>
        <w:ind w:leftChars="0" w:left="410" w:firstLineChars="200" w:firstLine="381"/>
        <w:jc w:val="left"/>
      </w:pPr>
    </w:p>
    <w:p w:rsidR="00FC38B3" w:rsidRDefault="0052151B" w:rsidP="00CD6EFB">
      <w:pPr>
        <w:ind w:left="381" w:hangingChars="200" w:hanging="381"/>
        <w:jc w:val="left"/>
      </w:pPr>
      <w:r>
        <w:rPr>
          <w:rFonts w:hint="eastAsia"/>
        </w:rPr>
        <w:t xml:space="preserve">   </w:t>
      </w:r>
      <w:r>
        <w:rPr>
          <w:rFonts w:hint="eastAsia"/>
        </w:rPr>
        <w:t>・総務省の健全化判断指標との比較に関しては、総務省が赤字の自治体や企業の再建制度のあり方が議論の出発点であり、早期是正機能の重要性に鑑み整備された制度であるのに対して、財務省は財政投融資の貸手として債務償還の確実性を</w:t>
      </w:r>
      <w:r w:rsidR="00CD6EFB">
        <w:rPr>
          <w:rFonts w:hint="eastAsia"/>
        </w:rPr>
        <w:t>測ることが目的とされる点で主旨が同一ではない。</w:t>
      </w:r>
    </w:p>
    <w:p w:rsidR="00BC6381" w:rsidRDefault="00BC6381" w:rsidP="00BC6381">
      <w:pPr>
        <w:jc w:val="left"/>
      </w:pPr>
    </w:p>
    <w:p w:rsidR="00BC6381" w:rsidRDefault="00CD6EFB" w:rsidP="00BC6381">
      <w:pPr>
        <w:ind w:firstLineChars="200" w:firstLine="381"/>
        <w:jc w:val="left"/>
      </w:pPr>
      <w:r>
        <w:rPr>
          <w:rFonts w:hint="eastAsia"/>
        </w:rPr>
        <w:t>ただ、強いて言えば、①財務省の指標の方が経常収入や経常収支を用いて算出している点で、財務状況の実態により近</w:t>
      </w:r>
    </w:p>
    <w:p w:rsidR="00BC6381" w:rsidRDefault="00CD6EFB" w:rsidP="00BC6381">
      <w:pPr>
        <w:ind w:firstLineChars="200" w:firstLine="381"/>
        <w:jc w:val="left"/>
      </w:pPr>
      <w:r>
        <w:rPr>
          <w:rFonts w:hint="eastAsia"/>
        </w:rPr>
        <w:t>い</w:t>
      </w:r>
      <w:r w:rsidR="00BC6381">
        <w:rPr>
          <w:rFonts w:hint="eastAsia"/>
        </w:rPr>
        <w:t>と考えられる、②同じく財務省の指標の方が、年や月で単位である点で、分かり易い、③自治体の管轄当局である総</w:t>
      </w:r>
    </w:p>
    <w:p w:rsidR="00CD6EFB" w:rsidRDefault="00BC6381" w:rsidP="00BC6381">
      <w:pPr>
        <w:ind w:firstLineChars="200" w:firstLine="381"/>
        <w:jc w:val="left"/>
      </w:pPr>
      <w:r>
        <w:rPr>
          <w:rFonts w:hint="eastAsia"/>
        </w:rPr>
        <w:t>務省が自ら管理・監督するよりは、他省の方が客観性に優れ、</w:t>
      </w:r>
      <w:r w:rsidR="00A761B9">
        <w:rPr>
          <w:rFonts w:hint="eastAsia"/>
        </w:rPr>
        <w:t>一般的には</w:t>
      </w:r>
      <w:r>
        <w:rPr>
          <w:rFonts w:hint="eastAsia"/>
        </w:rPr>
        <w:t>信頼性に勝ると考えられる</w:t>
      </w:r>
      <w:r w:rsidR="00873BEB">
        <w:rPr>
          <w:rFonts w:hint="eastAsia"/>
        </w:rPr>
        <w:t>。</w:t>
      </w:r>
    </w:p>
    <w:p w:rsidR="00BC6381" w:rsidRDefault="00BC6381" w:rsidP="00BC6381">
      <w:pPr>
        <w:ind w:firstLineChars="200" w:firstLine="381"/>
        <w:jc w:val="left"/>
      </w:pPr>
    </w:p>
    <w:p w:rsidR="00DD103D" w:rsidRDefault="00BC6381" w:rsidP="00BC6381">
      <w:pPr>
        <w:ind w:firstLineChars="200" w:firstLine="381"/>
        <w:jc w:val="left"/>
      </w:pPr>
      <w:r>
        <w:rPr>
          <w:rFonts w:hint="eastAsia"/>
        </w:rPr>
        <w:t>更に、</w:t>
      </w:r>
      <w:r w:rsidR="00484DF1">
        <w:rPr>
          <w:rFonts w:hint="eastAsia"/>
        </w:rPr>
        <w:t>理想的には民間金融機関の検査・監督を旧大蔵省から金融監督庁</w:t>
      </w:r>
      <w:r w:rsidR="00484DF1">
        <w:rPr>
          <w:rFonts w:hint="eastAsia"/>
        </w:rPr>
        <w:t>(</w:t>
      </w:r>
      <w:r w:rsidR="00484DF1">
        <w:rPr>
          <w:rFonts w:hint="eastAsia"/>
        </w:rPr>
        <w:t>現金融庁</w:t>
      </w:r>
      <w:r w:rsidR="00484DF1">
        <w:rPr>
          <w:rFonts w:hint="eastAsia"/>
        </w:rPr>
        <w:t>)</w:t>
      </w:r>
      <w:r w:rsidR="00484DF1">
        <w:rPr>
          <w:rFonts w:hint="eastAsia"/>
        </w:rPr>
        <w:t>に分離した様に、</w:t>
      </w:r>
      <w:r w:rsidR="00EF6D43">
        <w:rPr>
          <w:rFonts w:hint="eastAsia"/>
        </w:rPr>
        <w:t>総務省から独立し</w:t>
      </w:r>
    </w:p>
    <w:p w:rsidR="00BC6381" w:rsidRDefault="00EF6D43" w:rsidP="00BC6381">
      <w:pPr>
        <w:ind w:firstLineChars="200" w:firstLine="381"/>
        <w:jc w:val="left"/>
      </w:pPr>
      <w:r>
        <w:rPr>
          <w:rFonts w:hint="eastAsia"/>
        </w:rPr>
        <w:t>た機関が制度設計から管理・監督を行う仕組みの方が透明性も増し、実効性があると考える。</w:t>
      </w:r>
    </w:p>
    <w:p w:rsidR="004859C2" w:rsidRDefault="004859C2" w:rsidP="00BC6381">
      <w:pPr>
        <w:ind w:firstLineChars="200" w:firstLine="381"/>
        <w:jc w:val="left"/>
      </w:pPr>
    </w:p>
    <w:p w:rsidR="00D3057E" w:rsidRPr="002B4634" w:rsidRDefault="004859C2" w:rsidP="00862CBE">
      <w:pPr>
        <w:ind w:leftChars="200" w:left="381"/>
        <w:jc w:val="left"/>
      </w:pPr>
      <w:r>
        <w:rPr>
          <w:rFonts w:hint="eastAsia"/>
        </w:rPr>
        <w:t>いずれにせよ、地方自治体の財政状況の管理・監督方法に関する議論</w:t>
      </w:r>
      <w:r w:rsidR="00862CBE">
        <w:rPr>
          <w:rFonts w:hint="eastAsia"/>
        </w:rPr>
        <w:t>は</w:t>
      </w:r>
      <w:r>
        <w:rPr>
          <w:rFonts w:hint="eastAsia"/>
        </w:rPr>
        <w:t>もちろん</w:t>
      </w:r>
      <w:r w:rsidR="00862CBE">
        <w:rPr>
          <w:rFonts w:hint="eastAsia"/>
        </w:rPr>
        <w:t>重要</w:t>
      </w:r>
      <w:r>
        <w:rPr>
          <w:rFonts w:hint="eastAsia"/>
        </w:rPr>
        <w:t>であるが、財源保障機能・財源調整機能の下で地方は国と運命共同体であり、財政状況</w:t>
      </w:r>
      <w:r w:rsidR="00A761B9">
        <w:rPr>
          <w:rFonts w:hint="eastAsia"/>
        </w:rPr>
        <w:t>が</w:t>
      </w:r>
      <w:r>
        <w:rPr>
          <w:rFonts w:hint="eastAsia"/>
        </w:rPr>
        <w:t>より深刻な</w:t>
      </w:r>
      <w:r w:rsidR="00A761B9">
        <w:rPr>
          <w:rFonts w:hint="eastAsia"/>
        </w:rPr>
        <w:t>状況にある</w:t>
      </w:r>
      <w:r>
        <w:rPr>
          <w:rFonts w:hint="eastAsia"/>
        </w:rPr>
        <w:t>国の財政健全化を先に且つ真剣に取り組むべきで</w:t>
      </w:r>
      <w:r w:rsidR="00862CBE">
        <w:rPr>
          <w:rFonts w:hint="eastAsia"/>
        </w:rPr>
        <w:t>あると考える</w:t>
      </w:r>
      <w:bookmarkStart w:id="0" w:name="_GoBack"/>
      <w:bookmarkEnd w:id="0"/>
      <w:r>
        <w:rPr>
          <w:rFonts w:hint="eastAsia"/>
        </w:rPr>
        <w:t>。</w:t>
      </w:r>
      <w:r w:rsidR="00873BEB">
        <w:rPr>
          <w:rFonts w:hint="eastAsia"/>
        </w:rPr>
        <w:t xml:space="preserve">                                                                            </w:t>
      </w:r>
      <w:r w:rsidR="00D3057E">
        <w:rPr>
          <w:rFonts w:hint="eastAsia"/>
        </w:rPr>
        <w:t>（以上）</w:t>
      </w:r>
    </w:p>
    <w:sectPr w:rsidR="00D3057E" w:rsidRPr="002B4634" w:rsidSect="007F1464">
      <w:type w:val="continuous"/>
      <w:pgSz w:w="11906" w:h="16838" w:code="9"/>
      <w:pgMar w:top="851" w:right="851" w:bottom="851" w:left="567" w:header="851" w:footer="567" w:gutter="0"/>
      <w:pgNumType w:fmt="numberInDash"/>
      <w:cols w:space="425"/>
      <w:docGrid w:type="linesAndChars" w:linePitch="291"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15" w:rsidRDefault="00681E15" w:rsidP="008D7396">
      <w:r>
        <w:separator/>
      </w:r>
    </w:p>
  </w:endnote>
  <w:endnote w:type="continuationSeparator" w:id="0">
    <w:p w:rsidR="00681E15" w:rsidRDefault="00681E15" w:rsidP="008D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358651"/>
      <w:docPartObj>
        <w:docPartGallery w:val="Page Numbers (Bottom of Page)"/>
        <w:docPartUnique/>
      </w:docPartObj>
    </w:sdtPr>
    <w:sdtEndPr/>
    <w:sdtContent>
      <w:p w:rsidR="0052151B" w:rsidRDefault="0052151B">
        <w:pPr>
          <w:pStyle w:val="a8"/>
          <w:jc w:val="center"/>
        </w:pPr>
        <w:r>
          <w:fldChar w:fldCharType="begin"/>
        </w:r>
        <w:r>
          <w:instrText>PAGE   \* MERGEFORMAT</w:instrText>
        </w:r>
        <w:r>
          <w:fldChar w:fldCharType="separate"/>
        </w:r>
        <w:r w:rsidR="00862CBE" w:rsidRPr="00862CBE">
          <w:rPr>
            <w:noProof/>
            <w:lang w:val="ja-JP"/>
          </w:rPr>
          <w:t>-</w:t>
        </w:r>
        <w:r w:rsidR="00862CBE">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15" w:rsidRDefault="00681E15" w:rsidP="008D7396">
      <w:r>
        <w:separator/>
      </w:r>
    </w:p>
  </w:footnote>
  <w:footnote w:type="continuationSeparator" w:id="0">
    <w:p w:rsidR="00681E15" w:rsidRDefault="00681E15" w:rsidP="008D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17CE"/>
    <w:multiLevelType w:val="hybridMultilevel"/>
    <w:tmpl w:val="B1F47342"/>
    <w:lvl w:ilvl="0" w:tplc="D004C98C">
      <w:start w:val="1"/>
      <w:numFmt w:val="decimalFullWidth"/>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1503F4"/>
    <w:multiLevelType w:val="hybridMultilevel"/>
    <w:tmpl w:val="13FE4858"/>
    <w:lvl w:ilvl="0" w:tplc="AAF2A1D8">
      <w:start w:val="1"/>
      <w:numFmt w:val="decimalFullWidth"/>
      <w:lvlText w:val="%1．"/>
      <w:lvlJc w:val="left"/>
      <w:pPr>
        <w:ind w:left="410" w:hanging="410"/>
      </w:pPr>
      <w:rPr>
        <w:rFonts w:hint="default"/>
        <w:sz w:val="22"/>
      </w:rPr>
    </w:lvl>
    <w:lvl w:ilvl="1" w:tplc="A14C6FD4">
      <w:start w:val="1"/>
      <w:numFmt w:val="decimalFullWidth"/>
      <w:lvlText w:val="%2．"/>
      <w:lvlJc w:val="left"/>
      <w:pPr>
        <w:ind w:left="830" w:hanging="4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2B36B7"/>
    <w:multiLevelType w:val="hybridMultilevel"/>
    <w:tmpl w:val="7AEC4B3A"/>
    <w:lvl w:ilvl="0" w:tplc="366A0AB0">
      <w:start w:val="1"/>
      <w:numFmt w:val="decimal"/>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nsid w:val="42A9075E"/>
    <w:multiLevelType w:val="hybridMultilevel"/>
    <w:tmpl w:val="AAFE6C04"/>
    <w:lvl w:ilvl="0" w:tplc="7F94E6E6">
      <w:start w:val="1"/>
      <w:numFmt w:val="decimalFullWidth"/>
      <w:lvlText w:val="（%1）"/>
      <w:lvlJc w:val="left"/>
      <w:pPr>
        <w:ind w:left="1130" w:hanging="7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B8"/>
    <w:rsid w:val="00002F9E"/>
    <w:rsid w:val="00005449"/>
    <w:rsid w:val="000327A7"/>
    <w:rsid w:val="00034655"/>
    <w:rsid w:val="00036E58"/>
    <w:rsid w:val="00052951"/>
    <w:rsid w:val="00055140"/>
    <w:rsid w:val="00055392"/>
    <w:rsid w:val="000769D2"/>
    <w:rsid w:val="000B69D5"/>
    <w:rsid w:val="000B7544"/>
    <w:rsid w:val="000C4873"/>
    <w:rsid w:val="000C6748"/>
    <w:rsid w:val="000D2282"/>
    <w:rsid w:val="000D4584"/>
    <w:rsid w:val="000D7B38"/>
    <w:rsid w:val="000E5EEB"/>
    <w:rsid w:val="000F0243"/>
    <w:rsid w:val="000F20E3"/>
    <w:rsid w:val="000F2633"/>
    <w:rsid w:val="000F5367"/>
    <w:rsid w:val="00121173"/>
    <w:rsid w:val="001215FC"/>
    <w:rsid w:val="00126463"/>
    <w:rsid w:val="0014205C"/>
    <w:rsid w:val="00145738"/>
    <w:rsid w:val="00145B35"/>
    <w:rsid w:val="00165B91"/>
    <w:rsid w:val="00175E1A"/>
    <w:rsid w:val="001761AD"/>
    <w:rsid w:val="001861B7"/>
    <w:rsid w:val="00187F1A"/>
    <w:rsid w:val="00190FEC"/>
    <w:rsid w:val="00191C20"/>
    <w:rsid w:val="001A0790"/>
    <w:rsid w:val="001C5EFF"/>
    <w:rsid w:val="001D494B"/>
    <w:rsid w:val="001E1034"/>
    <w:rsid w:val="001E2E43"/>
    <w:rsid w:val="00205707"/>
    <w:rsid w:val="00213E26"/>
    <w:rsid w:val="0022143B"/>
    <w:rsid w:val="00227AD0"/>
    <w:rsid w:val="00230F89"/>
    <w:rsid w:val="00232CE5"/>
    <w:rsid w:val="00240FC3"/>
    <w:rsid w:val="00243FBC"/>
    <w:rsid w:val="002460B8"/>
    <w:rsid w:val="0025312F"/>
    <w:rsid w:val="00253579"/>
    <w:rsid w:val="00267F84"/>
    <w:rsid w:val="002816DE"/>
    <w:rsid w:val="00282F19"/>
    <w:rsid w:val="00284493"/>
    <w:rsid w:val="00291F93"/>
    <w:rsid w:val="002A2076"/>
    <w:rsid w:val="002A4982"/>
    <w:rsid w:val="002A5829"/>
    <w:rsid w:val="002A58ED"/>
    <w:rsid w:val="002B1196"/>
    <w:rsid w:val="002B3E2B"/>
    <w:rsid w:val="002B4634"/>
    <w:rsid w:val="002C1233"/>
    <w:rsid w:val="002C7317"/>
    <w:rsid w:val="002C7F83"/>
    <w:rsid w:val="00300855"/>
    <w:rsid w:val="00327E99"/>
    <w:rsid w:val="0033001E"/>
    <w:rsid w:val="0033484D"/>
    <w:rsid w:val="0035610F"/>
    <w:rsid w:val="00367A40"/>
    <w:rsid w:val="00371C95"/>
    <w:rsid w:val="00372114"/>
    <w:rsid w:val="00387269"/>
    <w:rsid w:val="00393DDA"/>
    <w:rsid w:val="003D11D4"/>
    <w:rsid w:val="003D5C5E"/>
    <w:rsid w:val="003E1449"/>
    <w:rsid w:val="003E42A1"/>
    <w:rsid w:val="003E70F5"/>
    <w:rsid w:val="00403CE9"/>
    <w:rsid w:val="00407433"/>
    <w:rsid w:val="004156FF"/>
    <w:rsid w:val="00417E4D"/>
    <w:rsid w:val="00421954"/>
    <w:rsid w:val="004405A4"/>
    <w:rsid w:val="00443D4A"/>
    <w:rsid w:val="00447303"/>
    <w:rsid w:val="004769A7"/>
    <w:rsid w:val="00482F2A"/>
    <w:rsid w:val="00484DF1"/>
    <w:rsid w:val="004859C2"/>
    <w:rsid w:val="00491A8F"/>
    <w:rsid w:val="00492121"/>
    <w:rsid w:val="004A4307"/>
    <w:rsid w:val="004D39EC"/>
    <w:rsid w:val="004E2412"/>
    <w:rsid w:val="004E4625"/>
    <w:rsid w:val="004E6B0B"/>
    <w:rsid w:val="004F6ED6"/>
    <w:rsid w:val="005150C6"/>
    <w:rsid w:val="00515F9E"/>
    <w:rsid w:val="00521222"/>
    <w:rsid w:val="0052151B"/>
    <w:rsid w:val="00527F37"/>
    <w:rsid w:val="005310F4"/>
    <w:rsid w:val="00542E1E"/>
    <w:rsid w:val="0054382A"/>
    <w:rsid w:val="00544BB1"/>
    <w:rsid w:val="00555E68"/>
    <w:rsid w:val="00564AB1"/>
    <w:rsid w:val="00565769"/>
    <w:rsid w:val="0058239F"/>
    <w:rsid w:val="005901DD"/>
    <w:rsid w:val="005A6221"/>
    <w:rsid w:val="005B3CED"/>
    <w:rsid w:val="005C2E55"/>
    <w:rsid w:val="005C4681"/>
    <w:rsid w:val="005C4914"/>
    <w:rsid w:val="005D42D5"/>
    <w:rsid w:val="005D7A65"/>
    <w:rsid w:val="005D7C42"/>
    <w:rsid w:val="00612549"/>
    <w:rsid w:val="0061591A"/>
    <w:rsid w:val="006230E4"/>
    <w:rsid w:val="00627E9B"/>
    <w:rsid w:val="006429F6"/>
    <w:rsid w:val="00645B67"/>
    <w:rsid w:val="00647671"/>
    <w:rsid w:val="006517DD"/>
    <w:rsid w:val="00654DD7"/>
    <w:rsid w:val="006579BC"/>
    <w:rsid w:val="00681E15"/>
    <w:rsid w:val="00686B9A"/>
    <w:rsid w:val="00686EDD"/>
    <w:rsid w:val="0069545E"/>
    <w:rsid w:val="00695837"/>
    <w:rsid w:val="00696785"/>
    <w:rsid w:val="006B6C4D"/>
    <w:rsid w:val="006B733B"/>
    <w:rsid w:val="006C3C50"/>
    <w:rsid w:val="006D3C79"/>
    <w:rsid w:val="006F0F57"/>
    <w:rsid w:val="007105F9"/>
    <w:rsid w:val="007171AC"/>
    <w:rsid w:val="0072072F"/>
    <w:rsid w:val="00724011"/>
    <w:rsid w:val="00724DB4"/>
    <w:rsid w:val="00724EA4"/>
    <w:rsid w:val="007466AF"/>
    <w:rsid w:val="00760F89"/>
    <w:rsid w:val="00763A92"/>
    <w:rsid w:val="007644CB"/>
    <w:rsid w:val="00765DCD"/>
    <w:rsid w:val="0077001C"/>
    <w:rsid w:val="00770F31"/>
    <w:rsid w:val="007812F1"/>
    <w:rsid w:val="007818CF"/>
    <w:rsid w:val="007B05B9"/>
    <w:rsid w:val="007B170E"/>
    <w:rsid w:val="007C6059"/>
    <w:rsid w:val="007D30E1"/>
    <w:rsid w:val="007D5D92"/>
    <w:rsid w:val="007D6F0D"/>
    <w:rsid w:val="007D7DD0"/>
    <w:rsid w:val="007E2AED"/>
    <w:rsid w:val="007F1464"/>
    <w:rsid w:val="008126B2"/>
    <w:rsid w:val="00823702"/>
    <w:rsid w:val="00843924"/>
    <w:rsid w:val="00845DDD"/>
    <w:rsid w:val="00854730"/>
    <w:rsid w:val="00855B92"/>
    <w:rsid w:val="00857C22"/>
    <w:rsid w:val="00862CBE"/>
    <w:rsid w:val="0086463B"/>
    <w:rsid w:val="00870244"/>
    <w:rsid w:val="00873BEB"/>
    <w:rsid w:val="00886E5C"/>
    <w:rsid w:val="00892482"/>
    <w:rsid w:val="00893786"/>
    <w:rsid w:val="008A21F7"/>
    <w:rsid w:val="008A49F2"/>
    <w:rsid w:val="008D7396"/>
    <w:rsid w:val="008F5AFB"/>
    <w:rsid w:val="008F6595"/>
    <w:rsid w:val="00905B4E"/>
    <w:rsid w:val="00915C0C"/>
    <w:rsid w:val="00920D3B"/>
    <w:rsid w:val="009235E8"/>
    <w:rsid w:val="00940CAB"/>
    <w:rsid w:val="00944616"/>
    <w:rsid w:val="00946180"/>
    <w:rsid w:val="009546C4"/>
    <w:rsid w:val="009575BB"/>
    <w:rsid w:val="00962251"/>
    <w:rsid w:val="00962435"/>
    <w:rsid w:val="00980E19"/>
    <w:rsid w:val="009819BF"/>
    <w:rsid w:val="0098431F"/>
    <w:rsid w:val="009867BE"/>
    <w:rsid w:val="00987056"/>
    <w:rsid w:val="009A730F"/>
    <w:rsid w:val="009A78A6"/>
    <w:rsid w:val="009B1BE9"/>
    <w:rsid w:val="009D4625"/>
    <w:rsid w:val="009E4410"/>
    <w:rsid w:val="00A02CFC"/>
    <w:rsid w:val="00A14DAF"/>
    <w:rsid w:val="00A21BAE"/>
    <w:rsid w:val="00A323FB"/>
    <w:rsid w:val="00A360E1"/>
    <w:rsid w:val="00A37EAC"/>
    <w:rsid w:val="00A40055"/>
    <w:rsid w:val="00A445C4"/>
    <w:rsid w:val="00A52109"/>
    <w:rsid w:val="00A539D7"/>
    <w:rsid w:val="00A63D76"/>
    <w:rsid w:val="00A656B4"/>
    <w:rsid w:val="00A65763"/>
    <w:rsid w:val="00A704A9"/>
    <w:rsid w:val="00A761B9"/>
    <w:rsid w:val="00A77334"/>
    <w:rsid w:val="00A844AA"/>
    <w:rsid w:val="00A87CA7"/>
    <w:rsid w:val="00A9448E"/>
    <w:rsid w:val="00A953AF"/>
    <w:rsid w:val="00A97F7E"/>
    <w:rsid w:val="00AA31E6"/>
    <w:rsid w:val="00AB0CE2"/>
    <w:rsid w:val="00AC08D2"/>
    <w:rsid w:val="00AD2AD8"/>
    <w:rsid w:val="00AD6908"/>
    <w:rsid w:val="00AE079E"/>
    <w:rsid w:val="00AE235D"/>
    <w:rsid w:val="00AE31AC"/>
    <w:rsid w:val="00AE3820"/>
    <w:rsid w:val="00AF2333"/>
    <w:rsid w:val="00B001A2"/>
    <w:rsid w:val="00B031C4"/>
    <w:rsid w:val="00B05485"/>
    <w:rsid w:val="00B111C0"/>
    <w:rsid w:val="00B14AE9"/>
    <w:rsid w:val="00B1625E"/>
    <w:rsid w:val="00B22282"/>
    <w:rsid w:val="00B262C6"/>
    <w:rsid w:val="00B51BC3"/>
    <w:rsid w:val="00B55852"/>
    <w:rsid w:val="00B6515B"/>
    <w:rsid w:val="00B71E2D"/>
    <w:rsid w:val="00B7629F"/>
    <w:rsid w:val="00B81B97"/>
    <w:rsid w:val="00B94CB5"/>
    <w:rsid w:val="00B97F73"/>
    <w:rsid w:val="00BC31E4"/>
    <w:rsid w:val="00BC6381"/>
    <w:rsid w:val="00BC66C0"/>
    <w:rsid w:val="00BD057A"/>
    <w:rsid w:val="00BD3F0B"/>
    <w:rsid w:val="00BF5AC8"/>
    <w:rsid w:val="00C04A36"/>
    <w:rsid w:val="00C113A1"/>
    <w:rsid w:val="00C14FA9"/>
    <w:rsid w:val="00C20A44"/>
    <w:rsid w:val="00C31612"/>
    <w:rsid w:val="00C54556"/>
    <w:rsid w:val="00C61C76"/>
    <w:rsid w:val="00C74FF8"/>
    <w:rsid w:val="00C8502F"/>
    <w:rsid w:val="00C904C6"/>
    <w:rsid w:val="00CA7DE7"/>
    <w:rsid w:val="00CB3F98"/>
    <w:rsid w:val="00CB56CA"/>
    <w:rsid w:val="00CD591C"/>
    <w:rsid w:val="00CD6EFB"/>
    <w:rsid w:val="00CE048A"/>
    <w:rsid w:val="00CE59BF"/>
    <w:rsid w:val="00CF0D79"/>
    <w:rsid w:val="00CF149B"/>
    <w:rsid w:val="00D061EA"/>
    <w:rsid w:val="00D06597"/>
    <w:rsid w:val="00D169A5"/>
    <w:rsid w:val="00D226DC"/>
    <w:rsid w:val="00D22845"/>
    <w:rsid w:val="00D24779"/>
    <w:rsid w:val="00D3057E"/>
    <w:rsid w:val="00D37CAD"/>
    <w:rsid w:val="00D456FA"/>
    <w:rsid w:val="00D57C29"/>
    <w:rsid w:val="00D67F5F"/>
    <w:rsid w:val="00D97844"/>
    <w:rsid w:val="00DA559C"/>
    <w:rsid w:val="00DC6930"/>
    <w:rsid w:val="00DD103D"/>
    <w:rsid w:val="00DE1990"/>
    <w:rsid w:val="00DE1DFA"/>
    <w:rsid w:val="00DE4BF4"/>
    <w:rsid w:val="00DF03BA"/>
    <w:rsid w:val="00DF614A"/>
    <w:rsid w:val="00DF7235"/>
    <w:rsid w:val="00E030E3"/>
    <w:rsid w:val="00E15342"/>
    <w:rsid w:val="00E22B31"/>
    <w:rsid w:val="00E24DD6"/>
    <w:rsid w:val="00E313F9"/>
    <w:rsid w:val="00E33E42"/>
    <w:rsid w:val="00E360F1"/>
    <w:rsid w:val="00E5560F"/>
    <w:rsid w:val="00E619CA"/>
    <w:rsid w:val="00E66E11"/>
    <w:rsid w:val="00E71391"/>
    <w:rsid w:val="00E80221"/>
    <w:rsid w:val="00E86AC0"/>
    <w:rsid w:val="00E96487"/>
    <w:rsid w:val="00E97BDF"/>
    <w:rsid w:val="00EA1806"/>
    <w:rsid w:val="00ED014C"/>
    <w:rsid w:val="00ED0A88"/>
    <w:rsid w:val="00ED4C30"/>
    <w:rsid w:val="00ED4FFA"/>
    <w:rsid w:val="00EE10D7"/>
    <w:rsid w:val="00EE1356"/>
    <w:rsid w:val="00EE42DD"/>
    <w:rsid w:val="00EE7B6E"/>
    <w:rsid w:val="00EF009B"/>
    <w:rsid w:val="00EF6D43"/>
    <w:rsid w:val="00F0315E"/>
    <w:rsid w:val="00F376A2"/>
    <w:rsid w:val="00F46194"/>
    <w:rsid w:val="00F507B5"/>
    <w:rsid w:val="00F52D43"/>
    <w:rsid w:val="00F55A40"/>
    <w:rsid w:val="00F562FE"/>
    <w:rsid w:val="00F6059E"/>
    <w:rsid w:val="00F64FCE"/>
    <w:rsid w:val="00F66154"/>
    <w:rsid w:val="00F670CC"/>
    <w:rsid w:val="00F912B1"/>
    <w:rsid w:val="00FA4666"/>
    <w:rsid w:val="00FA6260"/>
    <w:rsid w:val="00FB34F0"/>
    <w:rsid w:val="00FC38B3"/>
    <w:rsid w:val="00FD6194"/>
    <w:rsid w:val="00FE1907"/>
    <w:rsid w:val="00FE3212"/>
    <w:rsid w:val="00FE6114"/>
    <w:rsid w:val="00FF0077"/>
    <w:rsid w:val="00FF2341"/>
    <w:rsid w:val="00FF5C6E"/>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0B8"/>
    <w:pPr>
      <w:ind w:leftChars="400" w:left="840"/>
    </w:pPr>
  </w:style>
  <w:style w:type="paragraph" w:styleId="a4">
    <w:name w:val="Balloon Text"/>
    <w:basedOn w:val="a"/>
    <w:link w:val="a5"/>
    <w:uiPriority w:val="99"/>
    <w:semiHidden/>
    <w:unhideWhenUsed/>
    <w:rsid w:val="00D305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057E"/>
    <w:rPr>
      <w:rFonts w:asciiTheme="majorHAnsi" w:eastAsiaTheme="majorEastAsia" w:hAnsiTheme="majorHAnsi" w:cstheme="majorBidi"/>
      <w:sz w:val="18"/>
      <w:szCs w:val="18"/>
    </w:rPr>
  </w:style>
  <w:style w:type="paragraph" w:styleId="a6">
    <w:name w:val="header"/>
    <w:basedOn w:val="a"/>
    <w:link w:val="a7"/>
    <w:uiPriority w:val="99"/>
    <w:unhideWhenUsed/>
    <w:rsid w:val="008D7396"/>
    <w:pPr>
      <w:tabs>
        <w:tab w:val="center" w:pos="4252"/>
        <w:tab w:val="right" w:pos="8504"/>
      </w:tabs>
      <w:snapToGrid w:val="0"/>
    </w:pPr>
  </w:style>
  <w:style w:type="character" w:customStyle="1" w:styleId="a7">
    <w:name w:val="ヘッダー (文字)"/>
    <w:basedOn w:val="a0"/>
    <w:link w:val="a6"/>
    <w:uiPriority w:val="99"/>
    <w:rsid w:val="008D7396"/>
  </w:style>
  <w:style w:type="paragraph" w:styleId="a8">
    <w:name w:val="footer"/>
    <w:basedOn w:val="a"/>
    <w:link w:val="a9"/>
    <w:uiPriority w:val="99"/>
    <w:unhideWhenUsed/>
    <w:rsid w:val="008D7396"/>
    <w:pPr>
      <w:tabs>
        <w:tab w:val="center" w:pos="4252"/>
        <w:tab w:val="right" w:pos="8504"/>
      </w:tabs>
      <w:snapToGrid w:val="0"/>
    </w:pPr>
  </w:style>
  <w:style w:type="character" w:customStyle="1" w:styleId="a9">
    <w:name w:val="フッター (文字)"/>
    <w:basedOn w:val="a0"/>
    <w:link w:val="a8"/>
    <w:uiPriority w:val="99"/>
    <w:rsid w:val="008D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0B8"/>
    <w:pPr>
      <w:ind w:leftChars="400" w:left="840"/>
    </w:pPr>
  </w:style>
  <w:style w:type="paragraph" w:styleId="a4">
    <w:name w:val="Balloon Text"/>
    <w:basedOn w:val="a"/>
    <w:link w:val="a5"/>
    <w:uiPriority w:val="99"/>
    <w:semiHidden/>
    <w:unhideWhenUsed/>
    <w:rsid w:val="00D305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057E"/>
    <w:rPr>
      <w:rFonts w:asciiTheme="majorHAnsi" w:eastAsiaTheme="majorEastAsia" w:hAnsiTheme="majorHAnsi" w:cstheme="majorBidi"/>
      <w:sz w:val="18"/>
      <w:szCs w:val="18"/>
    </w:rPr>
  </w:style>
  <w:style w:type="paragraph" w:styleId="a6">
    <w:name w:val="header"/>
    <w:basedOn w:val="a"/>
    <w:link w:val="a7"/>
    <w:uiPriority w:val="99"/>
    <w:unhideWhenUsed/>
    <w:rsid w:val="008D7396"/>
    <w:pPr>
      <w:tabs>
        <w:tab w:val="center" w:pos="4252"/>
        <w:tab w:val="right" w:pos="8504"/>
      </w:tabs>
      <w:snapToGrid w:val="0"/>
    </w:pPr>
  </w:style>
  <w:style w:type="character" w:customStyle="1" w:styleId="a7">
    <w:name w:val="ヘッダー (文字)"/>
    <w:basedOn w:val="a0"/>
    <w:link w:val="a6"/>
    <w:uiPriority w:val="99"/>
    <w:rsid w:val="008D7396"/>
  </w:style>
  <w:style w:type="paragraph" w:styleId="a8">
    <w:name w:val="footer"/>
    <w:basedOn w:val="a"/>
    <w:link w:val="a9"/>
    <w:uiPriority w:val="99"/>
    <w:unhideWhenUsed/>
    <w:rsid w:val="008D7396"/>
    <w:pPr>
      <w:tabs>
        <w:tab w:val="center" w:pos="4252"/>
        <w:tab w:val="right" w:pos="8504"/>
      </w:tabs>
      <w:snapToGrid w:val="0"/>
    </w:pPr>
  </w:style>
  <w:style w:type="character" w:customStyle="1" w:styleId="a9">
    <w:name w:val="フッター (文字)"/>
    <w:basedOn w:val="a0"/>
    <w:link w:val="a8"/>
    <w:uiPriority w:val="99"/>
    <w:rsid w:val="008D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7292">
      <w:bodyDiv w:val="1"/>
      <w:marLeft w:val="0"/>
      <w:marRight w:val="0"/>
      <w:marTop w:val="0"/>
      <w:marBottom w:val="0"/>
      <w:divBdr>
        <w:top w:val="none" w:sz="0" w:space="0" w:color="auto"/>
        <w:left w:val="none" w:sz="0" w:space="0" w:color="auto"/>
        <w:bottom w:val="none" w:sz="0" w:space="0" w:color="auto"/>
        <w:right w:val="none" w:sz="0" w:space="0" w:color="auto"/>
      </w:divBdr>
    </w:div>
    <w:div w:id="1083794425">
      <w:bodyDiv w:val="1"/>
      <w:marLeft w:val="0"/>
      <w:marRight w:val="0"/>
      <w:marTop w:val="0"/>
      <w:marBottom w:val="0"/>
      <w:divBdr>
        <w:top w:val="none" w:sz="0" w:space="0" w:color="auto"/>
        <w:left w:val="none" w:sz="0" w:space="0" w:color="auto"/>
        <w:bottom w:val="none" w:sz="0" w:space="0" w:color="auto"/>
        <w:right w:val="none" w:sz="0" w:space="0" w:color="auto"/>
      </w:divBdr>
    </w:div>
    <w:div w:id="1318806541">
      <w:bodyDiv w:val="1"/>
      <w:marLeft w:val="0"/>
      <w:marRight w:val="0"/>
      <w:marTop w:val="0"/>
      <w:marBottom w:val="0"/>
      <w:divBdr>
        <w:top w:val="none" w:sz="0" w:space="0" w:color="auto"/>
        <w:left w:val="none" w:sz="0" w:space="0" w:color="auto"/>
        <w:bottom w:val="none" w:sz="0" w:space="0" w:color="auto"/>
        <w:right w:val="none" w:sz="0" w:space="0" w:color="auto"/>
      </w:divBdr>
    </w:div>
    <w:div w:id="1700011279">
      <w:bodyDiv w:val="1"/>
      <w:marLeft w:val="0"/>
      <w:marRight w:val="0"/>
      <w:marTop w:val="0"/>
      <w:marBottom w:val="0"/>
      <w:divBdr>
        <w:top w:val="none" w:sz="0" w:space="0" w:color="auto"/>
        <w:left w:val="none" w:sz="0" w:space="0" w:color="auto"/>
        <w:bottom w:val="none" w:sz="0" w:space="0" w:color="auto"/>
        <w:right w:val="none" w:sz="0" w:space="0" w:color="auto"/>
      </w:divBdr>
    </w:div>
    <w:div w:id="2074156895">
      <w:bodyDiv w:val="1"/>
      <w:marLeft w:val="0"/>
      <w:marRight w:val="0"/>
      <w:marTop w:val="0"/>
      <w:marBottom w:val="0"/>
      <w:divBdr>
        <w:top w:val="none" w:sz="0" w:space="0" w:color="auto"/>
        <w:left w:val="none" w:sz="0" w:space="0" w:color="auto"/>
        <w:bottom w:val="none" w:sz="0" w:space="0" w:color="auto"/>
        <w:right w:val="none" w:sz="0" w:space="0" w:color="auto"/>
      </w:divBdr>
    </w:div>
    <w:div w:id="20895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emf"/><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image" Target="media/image13.emf"/><Relationship Id="rId33"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12.emf"/><Relationship Id="rId32"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6126;&#27835;&#22823;&#23398;&#23554;&#38272;&#32887;&#22823;&#23398;&#38498;&#12288;&#12460;&#12496;&#12490;&#12531;&#12473;&#30740;&#31350;&#31185;\2017F%20&#20860;&#26449;&#20808;&#29983;%20&#33258;&#27835;&#20307;&#36001;&#25919;&#30740;&#31350;\&#23567;&#30000;&#21407;&#24066;%20&#21335;&#36275;&#26564;&#2406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3258;&#27835;&#20307;\&#23567;&#30000;&#21407;&#24066;\&#23567;&#30000;&#21407;&#24066;%20&#21335;&#36275;&#26564;&#24066;.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33258;&#27835;&#20307;\&#23567;&#30000;&#21407;&#24066;\&#23567;&#30000;&#21407;&#24066;%20&#21335;&#36275;&#26564;&#24066;.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33258;&#27835;&#20307;\&#23567;&#30000;&#21407;&#24066;\&#23567;&#30000;&#21407;&#24066;%20&#21335;&#36275;&#26564;&#24066;.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33258;&#27835;&#20307;\&#23567;&#30000;&#21407;&#24066;\&#23567;&#30000;&#21407;&#24066;%20&#21335;&#36275;&#26564;&#2406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0849518810148735E-2"/>
          <c:y val="0.12547462817147856"/>
          <c:w val="0.89163801399825027"/>
          <c:h val="0.77338363954505684"/>
        </c:manualLayout>
      </c:layout>
      <c:barChart>
        <c:barDir val="col"/>
        <c:grouping val="clustered"/>
        <c:varyColors val="0"/>
        <c:ser>
          <c:idx val="0"/>
          <c:order val="0"/>
          <c:tx>
            <c:strRef>
              <c:f>南足柄市２!$B$5</c:f>
              <c:strCache>
                <c:ptCount val="1"/>
                <c:pt idx="0">
                  <c:v>歳　入　総　額</c:v>
                </c:pt>
              </c:strCache>
            </c:strRef>
          </c:tx>
          <c:invertIfNegative val="0"/>
          <c:dLbls>
            <c:numFmt formatCode="#,##0_);[Red]\(#,##0\)" sourceLinked="0"/>
            <c:spPr>
              <a:noFill/>
              <a:ln>
                <a:noFill/>
              </a:ln>
              <a:effectLst/>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南足柄市２!$C$4:$H$4</c:f>
              <c:strCache>
                <c:ptCount val="6"/>
                <c:pt idx="0">
                  <c:v>23年度</c:v>
                </c:pt>
                <c:pt idx="1">
                  <c:v>24年度</c:v>
                </c:pt>
                <c:pt idx="2">
                  <c:v>25年度</c:v>
                </c:pt>
                <c:pt idx="3">
                  <c:v>26年度</c:v>
                </c:pt>
                <c:pt idx="4">
                  <c:v>27年度</c:v>
                </c:pt>
                <c:pt idx="5">
                  <c:v>類団</c:v>
                </c:pt>
              </c:strCache>
            </c:strRef>
          </c:cat>
          <c:val>
            <c:numRef>
              <c:f>南足柄市２!$C$5:$H$5</c:f>
              <c:numCache>
                <c:formatCode>#,##0.0_ ;[Red]\-#,##0.0\ </c:formatCode>
                <c:ptCount val="6"/>
                <c:pt idx="0">
                  <c:v>146.65</c:v>
                </c:pt>
                <c:pt idx="1">
                  <c:v>139.81</c:v>
                </c:pt>
                <c:pt idx="2">
                  <c:v>201.86</c:v>
                </c:pt>
                <c:pt idx="3">
                  <c:v>141.47</c:v>
                </c:pt>
                <c:pt idx="4">
                  <c:v>140.52000000000001</c:v>
                </c:pt>
                <c:pt idx="5">
                  <c:v>224.75770693999999</c:v>
                </c:pt>
              </c:numCache>
            </c:numRef>
          </c:val>
        </c:ser>
        <c:ser>
          <c:idx val="1"/>
          <c:order val="1"/>
          <c:tx>
            <c:strRef>
              <c:f>南足柄市２!$B$6</c:f>
              <c:strCache>
                <c:ptCount val="1"/>
                <c:pt idx="0">
                  <c:v>歳　出　総　額</c:v>
                </c:pt>
              </c:strCache>
            </c:strRef>
          </c:tx>
          <c:invertIfNegative val="0"/>
          <c:dLbls>
            <c:numFmt formatCode="#,##0_);[Red]\(#,##0\)" sourceLinked="0"/>
            <c:spPr>
              <a:noFill/>
              <a:ln>
                <a:noFill/>
              </a:ln>
              <a:effectLst/>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南足柄市２!$C$4:$H$4</c:f>
              <c:strCache>
                <c:ptCount val="6"/>
                <c:pt idx="0">
                  <c:v>23年度</c:v>
                </c:pt>
                <c:pt idx="1">
                  <c:v>24年度</c:v>
                </c:pt>
                <c:pt idx="2">
                  <c:v>25年度</c:v>
                </c:pt>
                <c:pt idx="3">
                  <c:v>26年度</c:v>
                </c:pt>
                <c:pt idx="4">
                  <c:v>27年度</c:v>
                </c:pt>
                <c:pt idx="5">
                  <c:v>類団</c:v>
                </c:pt>
              </c:strCache>
            </c:strRef>
          </c:cat>
          <c:val>
            <c:numRef>
              <c:f>南足柄市２!$C$6:$H$6</c:f>
              <c:numCache>
                <c:formatCode>#,##0.0_ ;[Red]\-#,##0.0\ </c:formatCode>
                <c:ptCount val="6"/>
                <c:pt idx="0">
                  <c:v>142.29</c:v>
                </c:pt>
                <c:pt idx="1">
                  <c:v>134.06</c:v>
                </c:pt>
                <c:pt idx="2">
                  <c:v>196.11</c:v>
                </c:pt>
                <c:pt idx="3">
                  <c:v>138.66999999999999</c:v>
                </c:pt>
                <c:pt idx="4">
                  <c:v>137.21</c:v>
                </c:pt>
                <c:pt idx="5">
                  <c:v>214.41666720000001</c:v>
                </c:pt>
              </c:numCache>
            </c:numRef>
          </c:val>
        </c:ser>
        <c:dLbls>
          <c:showLegendKey val="0"/>
          <c:showVal val="0"/>
          <c:showCatName val="0"/>
          <c:showSerName val="0"/>
          <c:showPercent val="0"/>
          <c:showBubbleSize val="0"/>
        </c:dLbls>
        <c:gapWidth val="150"/>
        <c:axId val="263417216"/>
        <c:axId val="272531456"/>
      </c:barChart>
      <c:catAx>
        <c:axId val="263417216"/>
        <c:scaling>
          <c:orientation val="minMax"/>
        </c:scaling>
        <c:delete val="0"/>
        <c:axPos val="b"/>
        <c:numFmt formatCode="General" sourceLinked="1"/>
        <c:majorTickMark val="out"/>
        <c:minorTickMark val="none"/>
        <c:tickLblPos val="nextTo"/>
        <c:crossAx val="272531456"/>
        <c:crosses val="autoZero"/>
        <c:auto val="1"/>
        <c:lblAlgn val="ctr"/>
        <c:lblOffset val="100"/>
        <c:noMultiLvlLbl val="0"/>
      </c:catAx>
      <c:valAx>
        <c:axId val="272531456"/>
        <c:scaling>
          <c:orientation val="minMax"/>
        </c:scaling>
        <c:delete val="0"/>
        <c:axPos val="l"/>
        <c:majorGridlines/>
        <c:numFmt formatCode="General" sourceLinked="0"/>
        <c:majorTickMark val="out"/>
        <c:minorTickMark val="none"/>
        <c:tickLblPos val="nextTo"/>
        <c:crossAx val="263417216"/>
        <c:crosses val="autoZero"/>
        <c:crossBetween val="between"/>
      </c:valAx>
    </c:plotArea>
    <c:legend>
      <c:legendPos val="r"/>
      <c:layout>
        <c:manualLayout>
          <c:xMode val="edge"/>
          <c:yMode val="edge"/>
          <c:x val="0.59100463957156868"/>
          <c:y val="2.4946236559139783E-2"/>
          <c:w val="0.38154882154882153"/>
          <c:h val="9.1710270087206835E-2"/>
        </c:manualLayout>
      </c:layout>
      <c:overlay val="0"/>
      <c:txPr>
        <a:bodyPr/>
        <a:lstStyle/>
        <a:p>
          <a:pPr>
            <a:defRPr sz="900"/>
          </a:pPr>
          <a:endParaRPr lang="ja-JP"/>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ja-JP" sz="1100">
                <a:latin typeface="ＭＳ Ｐゴシック" panose="020B0600070205080204" pitchFamily="50" charset="-128"/>
                <a:ea typeface="ＭＳ Ｐゴシック" panose="020B0600070205080204" pitchFamily="50" charset="-128"/>
              </a:rPr>
              <a:t>財政力指数</a:t>
            </a:r>
          </a:p>
        </c:rich>
      </c:tx>
      <c:layout>
        <c:manualLayout>
          <c:xMode val="edge"/>
          <c:yMode val="edge"/>
          <c:x val="0.39483426466852939"/>
          <c:y val="3.4476107153272512E-2"/>
        </c:manualLayout>
      </c:layout>
      <c:overlay val="0"/>
      <c:spPr>
        <a:noFill/>
        <a:ln w="25400">
          <a:noFill/>
        </a:ln>
      </c:spPr>
    </c:title>
    <c:autoTitleDeleted val="0"/>
    <c:plotArea>
      <c:layout>
        <c:manualLayout>
          <c:layoutTarget val="inner"/>
          <c:xMode val="edge"/>
          <c:yMode val="edge"/>
          <c:x val="0.11476241469816273"/>
          <c:y val="0.15494049545176716"/>
          <c:w val="0.85141683265822676"/>
          <c:h val="0.71784057814690971"/>
        </c:manualLayout>
      </c:layout>
      <c:lineChart>
        <c:grouping val="stacked"/>
        <c:varyColors val="0"/>
        <c:ser>
          <c:idx val="1"/>
          <c:order val="0"/>
          <c:tx>
            <c:strRef>
              <c:f>南足柄市!$B$27</c:f>
              <c:strCache>
                <c:ptCount val="1"/>
                <c:pt idx="0">
                  <c:v>財政力指数</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Pt>
            <c:idx val="5"/>
            <c:bubble3D val="0"/>
            <c:spPr>
              <a:ln w="12700">
                <a:noFill/>
                <a:prstDash val="solid"/>
              </a:ln>
            </c:spPr>
          </c:dPt>
          <c:dLbls>
            <c:dLbl>
              <c:idx val="0"/>
              <c:layout>
                <c:manualLayout>
                  <c:x val="-5.050075067994525E-2"/>
                  <c:y val="-6.2946771653543301E-2"/>
                </c:manualLayout>
              </c:layout>
              <c:spPr/>
              <c:txPr>
                <a:bodyPr/>
                <a:lstStyle/>
                <a:p>
                  <a:pPr>
                    <a:defRPr sz="1100">
                      <a:latin typeface="Times New Roman" panose="02020603050405020304" pitchFamily="18" charset="0"/>
                      <a:cs typeface="Times New Roman" panose="02020603050405020304" pitchFamily="18" charset="0"/>
                    </a:defRPr>
                  </a:pPr>
                  <a:endParaRPr lang="ja-JP"/>
                </a:p>
              </c:txPr>
              <c:dLblPos val="r"/>
              <c:showLegendKey val="0"/>
              <c:showVal val="1"/>
              <c:showCatName val="0"/>
              <c:showSerName val="0"/>
              <c:showPercent val="0"/>
              <c:showBubbleSize val="0"/>
            </c:dLbl>
            <c:dLbl>
              <c:idx val="5"/>
              <c:layout>
                <c:manualLayout>
                  <c:x val="-0.10715223381449922"/>
                  <c:y val="-1.4946771653543307E-2"/>
                </c:manualLayout>
              </c:layout>
              <c:spPr/>
              <c:txPr>
                <a:bodyPr/>
                <a:lstStyle/>
                <a:p>
                  <a:pPr>
                    <a:defRPr sz="1100">
                      <a:latin typeface="Times New Roman" panose="02020603050405020304" pitchFamily="18" charset="0"/>
                      <a:cs typeface="Times New Roman" panose="02020603050405020304" pitchFamily="18" charset="0"/>
                    </a:defRPr>
                  </a:pPr>
                  <a:endParaRPr lang="ja-JP"/>
                </a:p>
              </c:txPr>
              <c:dLblPos val="r"/>
              <c:showLegendKey val="0"/>
              <c:showVal val="1"/>
              <c:showCatName val="0"/>
              <c:showSerName val="0"/>
              <c:showPercent val="0"/>
              <c:showBubbleSize val="0"/>
            </c:dLbl>
            <c:spPr>
              <a:noFill/>
              <a:ln w="25400">
                <a:noFill/>
              </a:ln>
            </c:spPr>
            <c:txPr>
              <a:bodyPr/>
              <a:lstStyle/>
              <a:p>
                <a:pPr>
                  <a:defRPr sz="1100">
                    <a:latin typeface="Times New Roman" panose="02020603050405020304" pitchFamily="18" charset="0"/>
                    <a:cs typeface="Times New Roman" panose="02020603050405020304" pitchFamily="18" charset="0"/>
                  </a:defRPr>
                </a:pPr>
                <a:endParaRPr lang="ja-JP"/>
              </a:p>
            </c:txPr>
            <c:dLblPos val="t"/>
            <c:showLegendKey val="0"/>
            <c:showVal val="1"/>
            <c:showCatName val="0"/>
            <c:showSerName val="0"/>
            <c:showPercent val="0"/>
            <c:showBubbleSize val="0"/>
            <c:showLeaderLines val="0"/>
          </c:dLbls>
          <c:cat>
            <c:strRef>
              <c:f>南足柄市!$C$26:$H$26</c:f>
              <c:strCache>
                <c:ptCount val="6"/>
                <c:pt idx="0">
                  <c:v>23年度</c:v>
                </c:pt>
                <c:pt idx="1">
                  <c:v>24年度</c:v>
                </c:pt>
                <c:pt idx="2">
                  <c:v>25年度</c:v>
                </c:pt>
                <c:pt idx="3">
                  <c:v>26年度</c:v>
                </c:pt>
                <c:pt idx="4">
                  <c:v>27年度</c:v>
                </c:pt>
                <c:pt idx="5">
                  <c:v>類団</c:v>
                </c:pt>
              </c:strCache>
            </c:strRef>
          </c:cat>
          <c:val>
            <c:numRef>
              <c:f>南足柄市!$C$27:$H$27</c:f>
              <c:numCache>
                <c:formatCode>0.00_);[Red]\(0.00\)</c:formatCode>
                <c:ptCount val="6"/>
                <c:pt idx="0">
                  <c:v>1.02</c:v>
                </c:pt>
                <c:pt idx="1">
                  <c:v>0.96</c:v>
                </c:pt>
                <c:pt idx="2">
                  <c:v>0.95</c:v>
                </c:pt>
                <c:pt idx="3">
                  <c:v>0.94</c:v>
                </c:pt>
                <c:pt idx="4">
                  <c:v>0.93</c:v>
                </c:pt>
                <c:pt idx="5">
                  <c:v>0.55000000000000004</c:v>
                </c:pt>
              </c:numCache>
            </c:numRef>
          </c:val>
          <c:smooth val="0"/>
        </c:ser>
        <c:dLbls>
          <c:showLegendKey val="0"/>
          <c:showVal val="0"/>
          <c:showCatName val="0"/>
          <c:showSerName val="0"/>
          <c:showPercent val="0"/>
          <c:showBubbleSize val="0"/>
        </c:dLbls>
        <c:marker val="1"/>
        <c:smooth val="0"/>
        <c:axId val="278082304"/>
        <c:axId val="278084224"/>
      </c:lineChart>
      <c:catAx>
        <c:axId val="278082304"/>
        <c:scaling>
          <c:orientation val="minMax"/>
        </c:scaling>
        <c:delete val="0"/>
        <c:axPos val="b"/>
        <c:numFmt formatCode="0_ " sourceLinked="0"/>
        <c:majorTickMark val="in"/>
        <c:minorTickMark val="none"/>
        <c:tickLblPos val="nextTo"/>
        <c:spPr>
          <a:ln w="3175">
            <a:solidFill>
              <a:srgbClr val="000000"/>
            </a:solidFill>
            <a:prstDash val="solid"/>
          </a:ln>
        </c:spPr>
        <c:txPr>
          <a:bodyPr rot="0" vert="horz"/>
          <a:lstStyle/>
          <a:p>
            <a:pPr>
              <a:defRPr sz="1100" baseline="0">
                <a:latin typeface="Times New Roman" panose="02020603050405020304" pitchFamily="18" charset="0"/>
                <a:ea typeface="ＭＳ Ｐゴシック" panose="020B0600070205080204" pitchFamily="50" charset="-128"/>
              </a:defRPr>
            </a:pPr>
            <a:endParaRPr lang="ja-JP"/>
          </a:p>
        </c:txPr>
        <c:crossAx val="278084224"/>
        <c:crosses val="autoZero"/>
        <c:auto val="1"/>
        <c:lblAlgn val="ctr"/>
        <c:lblOffset val="100"/>
        <c:tickLblSkip val="1"/>
        <c:tickMarkSkip val="1"/>
        <c:noMultiLvlLbl val="0"/>
      </c:catAx>
      <c:valAx>
        <c:axId val="278084224"/>
        <c:scaling>
          <c:orientation val="minMax"/>
          <c:max val="1.1000000000000001"/>
          <c:min val="0.5"/>
        </c:scaling>
        <c:delete val="0"/>
        <c:axPos val="l"/>
        <c:majorGridlines>
          <c:spPr>
            <a:ln w="3175">
              <a:solidFill>
                <a:srgbClr val="000000"/>
              </a:solidFill>
              <a:prstDash val="solid"/>
            </a:ln>
          </c:spPr>
        </c:majorGridlines>
        <c:numFmt formatCode="0.00_);[Red]\(0.00\)" sourceLinked="1"/>
        <c:majorTickMark val="in"/>
        <c:minorTickMark val="none"/>
        <c:tickLblPos val="nextTo"/>
        <c:spPr>
          <a:ln w="3175">
            <a:solidFill>
              <a:srgbClr val="000000"/>
            </a:solidFill>
            <a:prstDash val="solid"/>
          </a:ln>
        </c:spPr>
        <c:txPr>
          <a:bodyPr rot="0" vert="horz"/>
          <a:lstStyle/>
          <a:p>
            <a:pPr>
              <a:defRPr>
                <a:latin typeface="Times New Roman" panose="02020603050405020304" pitchFamily="18" charset="0"/>
                <a:cs typeface="Times New Roman" panose="02020603050405020304" pitchFamily="18" charset="0"/>
              </a:defRPr>
            </a:pPr>
            <a:endParaRPr lang="ja-JP"/>
          </a:p>
        </c:txPr>
        <c:crossAx val="278082304"/>
        <c:crosses val="autoZero"/>
        <c:crossBetween val="between"/>
        <c:majorUnit val="0.1"/>
      </c:valAx>
      <c:spPr>
        <a:solidFill>
          <a:srgbClr val="FFFFFF"/>
        </a:solidFill>
        <a:ln w="12700">
          <a:solidFill>
            <a:srgbClr val="808080"/>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ＭＳ Ｐゴシック"/>
          <a:ea typeface="ＭＳ Ｐ明朝" panose="02020600040205080304" pitchFamily="18" charset="-128"/>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b="1" baseline="0">
                <a:latin typeface="ＭＳ Ｐゴシック" panose="020B0600070205080204" pitchFamily="50" charset="-128"/>
                <a:ea typeface="ＭＳ Ｐゴシック" panose="020B0600070205080204" pitchFamily="50" charset="-128"/>
              </a:defRPr>
            </a:pPr>
            <a:r>
              <a:rPr lang="ja-JP" sz="1100" b="1" baseline="0">
                <a:latin typeface="ＭＳ Ｐゴシック" panose="020B0600070205080204" pitchFamily="50" charset="-128"/>
                <a:ea typeface="ＭＳ Ｐゴシック" panose="020B0600070205080204" pitchFamily="50" charset="-128"/>
              </a:rPr>
              <a:t>経常収支比率の推移</a:t>
            </a:r>
          </a:p>
        </c:rich>
      </c:tx>
      <c:layout>
        <c:manualLayout>
          <c:xMode val="edge"/>
          <c:yMode val="edge"/>
          <c:x val="0.3531888454063003"/>
          <c:y val="2.7183144346642329E-2"/>
        </c:manualLayout>
      </c:layout>
      <c:overlay val="0"/>
      <c:spPr>
        <a:noFill/>
        <a:ln w="25400">
          <a:noFill/>
        </a:ln>
      </c:spPr>
    </c:title>
    <c:autoTitleDeleted val="0"/>
    <c:plotArea>
      <c:layout>
        <c:manualLayout>
          <c:layoutTarget val="inner"/>
          <c:xMode val="edge"/>
          <c:yMode val="edge"/>
          <c:x val="0.12423322187232035"/>
          <c:y val="0.15363881401617252"/>
          <c:w val="0.85582886178709572"/>
          <c:h val="0.72506738544474392"/>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dPt>
            <c:idx val="5"/>
            <c:bubble3D val="0"/>
            <c:spPr>
              <a:ln w="12700">
                <a:noFill/>
                <a:prstDash val="solid"/>
              </a:ln>
            </c:spPr>
          </c:dPt>
          <c:dLbls>
            <c:dLbl>
              <c:idx val="1"/>
              <c:layout>
                <c:manualLayout>
                  <c:x val="-6.8085106382978725E-2"/>
                  <c:y val="7.4666666666666714E-2"/>
                </c:manualLayout>
              </c:layout>
              <c:spPr/>
              <c:txPr>
                <a:bodyPr/>
                <a:lstStyle/>
                <a:p>
                  <a:pPr>
                    <a:defRPr sz="1000" b="1" baseline="0">
                      <a:latin typeface="Times New Roman" panose="02020603050405020304" pitchFamily="18" charset="0"/>
                    </a:defRPr>
                  </a:pPr>
                  <a:endParaRPr lang="ja-JP"/>
                </a:p>
              </c:txPr>
              <c:dLblPos val="r"/>
              <c:showLegendKey val="0"/>
              <c:showVal val="1"/>
              <c:showCatName val="0"/>
              <c:showSerName val="0"/>
              <c:showPercent val="0"/>
              <c:showBubbleSize val="0"/>
            </c:dLbl>
            <c:dLbl>
              <c:idx val="3"/>
              <c:layout>
                <c:manualLayout>
                  <c:x val="0"/>
                  <c:y val="-3.1999999999999973E-2"/>
                </c:manualLayout>
              </c:layout>
              <c:spPr/>
              <c:txPr>
                <a:bodyPr/>
                <a:lstStyle/>
                <a:p>
                  <a:pPr>
                    <a:defRPr sz="1000" b="1" baseline="0">
                      <a:latin typeface="Times New Roman" panose="02020603050405020304" pitchFamily="18" charset="0"/>
                    </a:defRPr>
                  </a:pPr>
                  <a:endParaRPr lang="ja-JP"/>
                </a:p>
              </c:txPr>
              <c:dLblPos val="r"/>
              <c:showLegendKey val="0"/>
              <c:showVal val="1"/>
              <c:showCatName val="0"/>
              <c:showSerName val="0"/>
              <c:showPercent val="0"/>
              <c:showBubbleSize val="0"/>
            </c:dLbl>
            <c:dLbl>
              <c:idx val="5"/>
              <c:layout>
                <c:manualLayout>
                  <c:x val="-0.1078014184397162"/>
                  <c:y val="0"/>
                </c:manualLayout>
              </c:layout>
              <c:spPr/>
              <c:txPr>
                <a:bodyPr/>
                <a:lstStyle/>
                <a:p>
                  <a:pPr>
                    <a:defRPr sz="1000" b="1" baseline="0">
                      <a:latin typeface="Times New Roman" panose="02020603050405020304" pitchFamily="18" charset="0"/>
                    </a:defRPr>
                  </a:pPr>
                  <a:endParaRPr lang="ja-JP"/>
                </a:p>
              </c:txPr>
              <c:dLblPos val="r"/>
              <c:showLegendKey val="0"/>
              <c:showVal val="1"/>
              <c:showCatName val="0"/>
              <c:showSerName val="0"/>
              <c:showPercent val="0"/>
              <c:showBubbleSize val="0"/>
            </c:dLbl>
            <c:spPr>
              <a:noFill/>
              <a:ln w="25400">
                <a:noFill/>
              </a:ln>
            </c:spPr>
            <c:txPr>
              <a:bodyPr/>
              <a:lstStyle/>
              <a:p>
                <a:pPr>
                  <a:defRPr sz="1000" b="1" baseline="0">
                    <a:latin typeface="Times New Roman" panose="02020603050405020304" pitchFamily="18" charset="0"/>
                  </a:defRPr>
                </a:pPr>
                <a:endParaRPr lang="ja-JP"/>
              </a:p>
            </c:txPr>
            <c:showLegendKey val="0"/>
            <c:showVal val="1"/>
            <c:showCatName val="0"/>
            <c:showSerName val="0"/>
            <c:showPercent val="0"/>
            <c:showBubbleSize val="0"/>
            <c:showLeaderLines val="0"/>
          </c:dLbls>
          <c:cat>
            <c:strRef>
              <c:f>南足柄市!$C$26:$H$26</c:f>
              <c:strCache>
                <c:ptCount val="6"/>
                <c:pt idx="0">
                  <c:v>23年度</c:v>
                </c:pt>
                <c:pt idx="1">
                  <c:v>24年度</c:v>
                </c:pt>
                <c:pt idx="2">
                  <c:v>25年度</c:v>
                </c:pt>
                <c:pt idx="3">
                  <c:v>26年度</c:v>
                </c:pt>
                <c:pt idx="4">
                  <c:v>27年度</c:v>
                </c:pt>
                <c:pt idx="5">
                  <c:v>類団</c:v>
                </c:pt>
              </c:strCache>
            </c:strRef>
          </c:cat>
          <c:val>
            <c:numRef>
              <c:f>南足柄市!$C$28:$H$28</c:f>
              <c:numCache>
                <c:formatCode>0.0_ </c:formatCode>
                <c:ptCount val="6"/>
                <c:pt idx="0">
                  <c:v>102.4</c:v>
                </c:pt>
                <c:pt idx="1">
                  <c:v>97.8</c:v>
                </c:pt>
                <c:pt idx="2">
                  <c:v>96.9</c:v>
                </c:pt>
                <c:pt idx="3">
                  <c:v>101.6</c:v>
                </c:pt>
                <c:pt idx="4">
                  <c:v>100.1</c:v>
                </c:pt>
                <c:pt idx="5" formatCode="0.0_);[Red]\(0.0\)">
                  <c:v>88.3</c:v>
                </c:pt>
              </c:numCache>
            </c:numRef>
          </c:val>
          <c:smooth val="0"/>
        </c:ser>
        <c:dLbls>
          <c:showLegendKey val="0"/>
          <c:showVal val="0"/>
          <c:showCatName val="0"/>
          <c:showSerName val="0"/>
          <c:showPercent val="0"/>
          <c:showBubbleSize val="0"/>
        </c:dLbls>
        <c:marker val="1"/>
        <c:smooth val="0"/>
        <c:axId val="278914944"/>
        <c:axId val="278916480"/>
      </c:lineChart>
      <c:catAx>
        <c:axId val="2789149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b="1" baseline="0">
                <a:latin typeface="Times New Roman" panose="02020603050405020304" pitchFamily="18" charset="0"/>
                <a:ea typeface="ＭＳ Ｐゴシック" panose="020B0600070205080204" pitchFamily="50" charset="-128"/>
                <a:cs typeface="Times New Roman" panose="02020603050405020304" pitchFamily="18" charset="0"/>
              </a:defRPr>
            </a:pPr>
            <a:endParaRPr lang="ja-JP"/>
          </a:p>
        </c:txPr>
        <c:crossAx val="278916480"/>
        <c:crossesAt val="0"/>
        <c:auto val="1"/>
        <c:lblAlgn val="ctr"/>
        <c:lblOffset val="100"/>
        <c:tickLblSkip val="1"/>
        <c:tickMarkSkip val="1"/>
        <c:noMultiLvlLbl val="0"/>
      </c:catAx>
      <c:valAx>
        <c:axId val="278916480"/>
        <c:scaling>
          <c:orientation val="minMax"/>
          <c:max val="103"/>
          <c:min val="87"/>
        </c:scaling>
        <c:delete val="0"/>
        <c:axPos val="l"/>
        <c:majorGridlines>
          <c:spPr>
            <a:ln w="3175">
              <a:solidFill>
                <a:srgbClr val="000000"/>
              </a:solidFill>
              <a:prstDash val="solid"/>
            </a:ln>
          </c:spPr>
        </c:majorGridlines>
        <c:title>
          <c:tx>
            <c:rich>
              <a:bodyPr rot="0" vert="horz"/>
              <a:lstStyle/>
              <a:p>
                <a:pPr algn="ctr">
                  <a:defRPr b="1"/>
                </a:pPr>
                <a:r>
                  <a:rPr lang="ja-JP" b="1"/>
                  <a:t>％</a:t>
                </a:r>
              </a:p>
            </c:rich>
          </c:tx>
          <c:layout>
            <c:manualLayout>
              <c:xMode val="edge"/>
              <c:yMode val="edge"/>
              <c:x val="9.5542248835662008E-2"/>
              <c:y val="7.5472157335932225E-2"/>
            </c:manualLayout>
          </c:layout>
          <c:overlay val="0"/>
          <c:spPr>
            <a:noFill/>
            <a:ln w="25400">
              <a:noFill/>
            </a:ln>
          </c:spPr>
        </c:title>
        <c:numFmt formatCode="0_ " sourceLinked="0"/>
        <c:majorTickMark val="in"/>
        <c:minorTickMark val="none"/>
        <c:tickLblPos val="nextTo"/>
        <c:spPr>
          <a:ln w="3175">
            <a:solidFill>
              <a:srgbClr val="000000"/>
            </a:solidFill>
            <a:prstDash val="solid"/>
          </a:ln>
        </c:spPr>
        <c:txPr>
          <a:bodyPr rot="0" vert="horz"/>
          <a:lstStyle/>
          <a:p>
            <a:pPr>
              <a:defRPr b="1" baseline="0">
                <a:latin typeface="Times New Roman" panose="02020603050405020304" pitchFamily="18" charset="0"/>
              </a:defRPr>
            </a:pPr>
            <a:endParaRPr lang="ja-JP"/>
          </a:p>
        </c:txPr>
        <c:crossAx val="278914944"/>
        <c:crosses val="autoZero"/>
        <c:crossBetween val="between"/>
        <c:majorUnit val="2"/>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mn-ea"/>
          <a:ea typeface="+mn-ea"/>
          <a:cs typeface="ＭＳ 明朝"/>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a:pPr>
            <a:r>
              <a:rPr lang="ja-JP" sz="1000"/>
              <a:t>地方債現在高と実質公債費比率</a:t>
            </a:r>
          </a:p>
        </c:rich>
      </c:tx>
      <c:layout>
        <c:manualLayout>
          <c:xMode val="edge"/>
          <c:yMode val="edge"/>
          <c:x val="0.17067547949879247"/>
          <c:y val="3.9530060589489501E-3"/>
        </c:manualLayout>
      </c:layout>
      <c:overlay val="0"/>
      <c:spPr>
        <a:noFill/>
        <a:ln w="25400">
          <a:noFill/>
        </a:ln>
      </c:spPr>
    </c:title>
    <c:autoTitleDeleted val="0"/>
    <c:plotArea>
      <c:layout>
        <c:manualLayout>
          <c:layoutTarget val="inner"/>
          <c:xMode val="edge"/>
          <c:yMode val="edge"/>
          <c:x val="8.4079341860923515E-2"/>
          <c:y val="0.13563847401522244"/>
          <c:w val="0.83097548577178848"/>
          <c:h val="0.76329886357585963"/>
        </c:manualLayout>
      </c:layout>
      <c:barChart>
        <c:barDir val="col"/>
        <c:grouping val="clustered"/>
        <c:varyColors val="0"/>
        <c:ser>
          <c:idx val="1"/>
          <c:order val="0"/>
          <c:tx>
            <c:v/>
          </c:tx>
          <c:spPr>
            <a:solidFill>
              <a:srgbClr val="993366"/>
            </a:solidFill>
            <a:ln w="12700">
              <a:solidFill>
                <a:srgbClr val="000000"/>
              </a:solidFill>
              <a:prstDash val="solid"/>
            </a:ln>
          </c:spPr>
          <c:invertIfNegative val="0"/>
          <c:dLbls>
            <c:dLbl>
              <c:idx val="2"/>
              <c:layout>
                <c:manualLayout>
                  <c:x val="-6.170355466130114E-2"/>
                  <c:y val="6.3768115942028983E-2"/>
                </c:manualLayout>
              </c:layout>
              <c:spPr/>
              <c:txPr>
                <a:bodyPr/>
                <a:lstStyle/>
                <a:p>
                  <a:pPr>
                    <a:defRPr/>
                  </a:pPr>
                  <a:endParaRPr lang="ja-JP"/>
                </a:p>
              </c:txPr>
              <c:dLblPos val="outEnd"/>
              <c:showLegendKey val="0"/>
              <c:showVal val="1"/>
              <c:showCatName val="0"/>
              <c:showSerName val="0"/>
              <c:showPercent val="0"/>
              <c:showBubbleSize val="0"/>
            </c:dLbl>
            <c:dLbl>
              <c:idx val="3"/>
              <c:layout>
                <c:manualLayout>
                  <c:x val="-5.6338028169014086E-2"/>
                  <c:y val="5.7971014492753624E-2"/>
                </c:manualLayout>
              </c:layout>
              <c:spPr/>
              <c:txPr>
                <a:bodyPr/>
                <a:lstStyle/>
                <a:p>
                  <a:pPr>
                    <a:defRPr/>
                  </a:pPr>
                  <a:endParaRPr lang="ja-JP"/>
                </a:p>
              </c:txPr>
              <c:dLblPos val="outEnd"/>
              <c:showLegendKey val="0"/>
              <c:showVal val="1"/>
              <c:showCatName val="0"/>
              <c:showSerName val="0"/>
              <c:showPercent val="0"/>
              <c:showBubbleSize val="0"/>
            </c:dLbl>
            <c:dLbl>
              <c:idx val="4"/>
              <c:layout>
                <c:manualLayout>
                  <c:x val="-5.9020791415157613E-2"/>
                  <c:y val="5.2173913043478258E-2"/>
                </c:manualLayout>
              </c:layout>
              <c:spPr/>
              <c:txPr>
                <a:bodyPr/>
                <a:lstStyle/>
                <a:p>
                  <a:pPr>
                    <a:defRPr/>
                  </a:pPr>
                  <a:endParaRPr lang="ja-JP"/>
                </a:p>
              </c:txPr>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南足柄市!$C$76:$H$76</c:f>
              <c:strCache>
                <c:ptCount val="6"/>
                <c:pt idx="0">
                  <c:v>23年度</c:v>
                </c:pt>
                <c:pt idx="1">
                  <c:v>24年度</c:v>
                </c:pt>
                <c:pt idx="2">
                  <c:v>25年度</c:v>
                </c:pt>
                <c:pt idx="3">
                  <c:v>26年度</c:v>
                </c:pt>
                <c:pt idx="4">
                  <c:v>27年度</c:v>
                </c:pt>
                <c:pt idx="5">
                  <c:v>類団</c:v>
                </c:pt>
              </c:strCache>
            </c:strRef>
          </c:cat>
          <c:val>
            <c:numRef>
              <c:f>南足柄市!$C$31:$G$31</c:f>
              <c:numCache>
                <c:formatCode>0_ </c:formatCode>
                <c:ptCount val="5"/>
                <c:pt idx="0">
                  <c:v>128.09</c:v>
                </c:pt>
                <c:pt idx="1">
                  <c:v>127.71</c:v>
                </c:pt>
                <c:pt idx="2">
                  <c:v>184.55</c:v>
                </c:pt>
                <c:pt idx="3">
                  <c:v>182.48</c:v>
                </c:pt>
                <c:pt idx="4">
                  <c:v>179.31</c:v>
                </c:pt>
              </c:numCache>
            </c:numRef>
          </c:val>
        </c:ser>
        <c:dLbls>
          <c:showLegendKey val="0"/>
          <c:showVal val="0"/>
          <c:showCatName val="0"/>
          <c:showSerName val="0"/>
          <c:showPercent val="0"/>
          <c:showBubbleSize val="0"/>
        </c:dLbls>
        <c:gapWidth val="150"/>
        <c:axId val="234180992"/>
        <c:axId val="234182528"/>
      </c:barChart>
      <c:lineChart>
        <c:grouping val="standard"/>
        <c:varyColors val="0"/>
        <c:ser>
          <c:idx val="0"/>
          <c:order val="1"/>
          <c:tx>
            <c:v/>
          </c:tx>
          <c:spPr>
            <a:ln w="12700">
              <a:solidFill>
                <a:srgbClr val="000080"/>
              </a:solidFill>
              <a:prstDash val="solid"/>
            </a:ln>
          </c:spPr>
          <c:marker>
            <c:symbol val="diamond"/>
            <c:size val="5"/>
            <c:spPr>
              <a:solidFill>
                <a:srgbClr val="000080"/>
              </a:solidFill>
              <a:ln>
                <a:solidFill>
                  <a:srgbClr val="000080"/>
                </a:solidFill>
                <a:prstDash val="solid"/>
              </a:ln>
            </c:spPr>
          </c:marker>
          <c:dPt>
            <c:idx val="5"/>
            <c:bubble3D val="0"/>
            <c:spPr>
              <a:ln w="12700">
                <a:noFill/>
                <a:prstDash val="solid"/>
              </a:ln>
            </c:spPr>
          </c:dPt>
          <c:dLbls>
            <c:dLbl>
              <c:idx val="0"/>
              <c:layout>
                <c:manualLayout>
                  <c:x val="1.6452098417275331E-2"/>
                  <c:y val="-4.7246376811594201E-2"/>
                </c:manualLayout>
              </c:layout>
              <c:spPr/>
              <c:txPr>
                <a:bodyPr/>
                <a:lstStyle/>
                <a:p>
                  <a:pPr>
                    <a:defRPr/>
                  </a:pPr>
                  <a:endParaRPr lang="ja-JP"/>
                </a:p>
              </c:txPr>
              <c:dLblPos val="r"/>
              <c:showLegendKey val="0"/>
              <c:showVal val="1"/>
              <c:showCatName val="0"/>
              <c:showSerName val="0"/>
              <c:showPercent val="0"/>
              <c:showBubbleSize val="0"/>
            </c:dLbl>
            <c:dLbl>
              <c:idx val="1"/>
              <c:layout>
                <c:manualLayout>
                  <c:x val="2.181762490956236E-2"/>
                  <c:y val="-7.6231884057971017E-2"/>
                </c:manualLayout>
              </c:layout>
              <c:spPr/>
              <c:txPr>
                <a:bodyPr/>
                <a:lstStyle/>
                <a:p>
                  <a:pPr>
                    <a:defRPr/>
                  </a:pPr>
                  <a:endParaRPr lang="ja-JP"/>
                </a:p>
              </c:txPr>
              <c:dLblPos val="r"/>
              <c:showLegendKey val="0"/>
              <c:showVal val="1"/>
              <c:showCatName val="0"/>
              <c:showSerName val="0"/>
              <c:showPercent val="0"/>
              <c:showBubbleSize val="0"/>
            </c:dLbl>
            <c:dLbl>
              <c:idx val="2"/>
              <c:layout>
                <c:manualLayout>
                  <c:x val="1.6452098417275306E-2"/>
                  <c:y val="-5.8840579710144926E-2"/>
                </c:manualLayout>
              </c:layout>
              <c:spPr/>
              <c:txPr>
                <a:bodyPr/>
                <a:lstStyle/>
                <a:p>
                  <a:pPr>
                    <a:defRPr/>
                  </a:pPr>
                  <a:endParaRPr lang="ja-JP"/>
                </a:p>
              </c:txPr>
              <c:dLblPos val="r"/>
              <c:showLegendKey val="0"/>
              <c:showVal val="1"/>
              <c:showCatName val="0"/>
              <c:showSerName val="0"/>
              <c:showPercent val="0"/>
              <c:showBubbleSize val="0"/>
            </c:dLbl>
            <c:dLbl>
              <c:idx val="3"/>
              <c:layout>
                <c:manualLayout>
                  <c:x val="1.3769335171131778E-2"/>
                  <c:y val="2.2318840579710144E-2"/>
                </c:manualLayout>
              </c:layout>
              <c:spPr/>
              <c:txPr>
                <a:bodyPr/>
                <a:lstStyle/>
                <a:p>
                  <a:pPr>
                    <a:defRPr/>
                  </a:pPr>
                  <a:endParaRPr lang="ja-JP"/>
                </a:p>
              </c:txPr>
              <c:dLblPos val="r"/>
              <c:showLegendKey val="0"/>
              <c:showVal val="1"/>
              <c:showCatName val="0"/>
              <c:showSerName val="0"/>
              <c:showPercent val="0"/>
              <c:showBubbleSize val="0"/>
            </c:dLbl>
            <c:dLbl>
              <c:idx val="4"/>
              <c:layout>
                <c:manualLayout>
                  <c:x val="1.1086571924988249E-2"/>
                  <c:y val="4.9275362318840577E-3"/>
                </c:manualLayout>
              </c:layout>
              <c:spPr/>
              <c:txPr>
                <a:bodyPr/>
                <a:lstStyle/>
                <a:p>
                  <a:pPr>
                    <a:defRPr/>
                  </a:pPr>
                  <a:endParaRPr lang="ja-JP"/>
                </a:p>
              </c:txPr>
              <c:dLblPos val="r"/>
              <c:showLegendKey val="0"/>
              <c:showVal val="1"/>
              <c:showCatName val="0"/>
              <c:showSerName val="0"/>
              <c:showPercent val="0"/>
              <c:showBubbleSize val="0"/>
            </c:dLbl>
            <c:dLbl>
              <c:idx val="5"/>
              <c:layout>
                <c:manualLayout>
                  <c:x val="-0.10360155684764746"/>
                  <c:y val="-2.4057971014492755E-2"/>
                </c:manualLayout>
              </c:layout>
              <c:spPr/>
              <c:txPr>
                <a:bodyPr/>
                <a:lstStyle/>
                <a:p>
                  <a:pPr>
                    <a:defRPr/>
                  </a:pPr>
                  <a:endParaRPr lang="ja-JP"/>
                </a:p>
              </c:txPr>
              <c:dLblPos val="r"/>
              <c:showLegendKey val="0"/>
              <c:showVal val="1"/>
              <c:showCatName val="0"/>
              <c:showSerName val="0"/>
              <c:showPercent val="0"/>
              <c:showBubbleSize val="0"/>
            </c:dLbl>
            <c:spPr>
              <a:noFill/>
              <a:ln w="25400">
                <a:noFill/>
              </a:ln>
            </c:spPr>
            <c:dLblPos val="t"/>
            <c:showLegendKey val="0"/>
            <c:showVal val="1"/>
            <c:showCatName val="0"/>
            <c:showSerName val="0"/>
            <c:showPercent val="0"/>
            <c:showBubbleSize val="0"/>
            <c:showLeaderLines val="0"/>
          </c:dLbls>
          <c:val>
            <c:numRef>
              <c:f>南足柄市!$C$29:$H$29</c:f>
              <c:numCache>
                <c:formatCode>0.0%</c:formatCode>
                <c:ptCount val="6"/>
                <c:pt idx="0">
                  <c:v>6.5000000000000002E-2</c:v>
                </c:pt>
                <c:pt idx="1">
                  <c:v>0.06</c:v>
                </c:pt>
                <c:pt idx="2">
                  <c:v>6.2E-2</c:v>
                </c:pt>
                <c:pt idx="3">
                  <c:v>0.06</c:v>
                </c:pt>
                <c:pt idx="4">
                  <c:v>6.7000000000000004E-2</c:v>
                </c:pt>
                <c:pt idx="5">
                  <c:v>0.10199999999999999</c:v>
                </c:pt>
              </c:numCache>
            </c:numRef>
          </c:val>
          <c:smooth val="0"/>
        </c:ser>
        <c:dLbls>
          <c:showLegendKey val="0"/>
          <c:showVal val="0"/>
          <c:showCatName val="0"/>
          <c:showSerName val="0"/>
          <c:showPercent val="0"/>
          <c:showBubbleSize val="0"/>
        </c:dLbls>
        <c:marker val="1"/>
        <c:smooth val="0"/>
        <c:axId val="234184064"/>
        <c:axId val="234189952"/>
      </c:lineChart>
      <c:catAx>
        <c:axId val="23418099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a:pPr>
            <a:endParaRPr lang="ja-JP"/>
          </a:p>
        </c:txPr>
        <c:crossAx val="234182528"/>
        <c:crosses val="autoZero"/>
        <c:auto val="0"/>
        <c:lblAlgn val="ctr"/>
        <c:lblOffset val="100"/>
        <c:tickLblSkip val="1"/>
        <c:tickMarkSkip val="1"/>
        <c:noMultiLvlLbl val="0"/>
      </c:catAx>
      <c:valAx>
        <c:axId val="234182528"/>
        <c:scaling>
          <c:orientation val="minMax"/>
          <c:min val="0"/>
        </c:scaling>
        <c:delete val="0"/>
        <c:axPos val="l"/>
        <c:majorGridlines/>
        <c:numFmt formatCode="0_ " sourceLinked="1"/>
        <c:majorTickMark val="in"/>
        <c:minorTickMark val="none"/>
        <c:tickLblPos val="nextTo"/>
        <c:spPr>
          <a:ln w="3175">
            <a:solidFill>
              <a:srgbClr val="000000"/>
            </a:solidFill>
            <a:prstDash val="solid"/>
          </a:ln>
        </c:spPr>
        <c:txPr>
          <a:bodyPr rot="0" vert="horz"/>
          <a:lstStyle/>
          <a:p>
            <a:pPr>
              <a:defRPr sz="1000" baseline="0"/>
            </a:pPr>
            <a:endParaRPr lang="ja-JP"/>
          </a:p>
        </c:txPr>
        <c:crossAx val="234180992"/>
        <c:crosses val="autoZero"/>
        <c:crossBetween val="between"/>
        <c:minorUnit val="0.95760000000000001"/>
      </c:valAx>
      <c:catAx>
        <c:axId val="234184064"/>
        <c:scaling>
          <c:orientation val="minMax"/>
        </c:scaling>
        <c:delete val="1"/>
        <c:axPos val="b"/>
        <c:majorTickMark val="out"/>
        <c:minorTickMark val="none"/>
        <c:tickLblPos val="nextTo"/>
        <c:crossAx val="234189952"/>
        <c:crosses val="autoZero"/>
        <c:auto val="0"/>
        <c:lblAlgn val="ctr"/>
        <c:lblOffset val="100"/>
        <c:noMultiLvlLbl val="0"/>
      </c:catAx>
      <c:valAx>
        <c:axId val="234189952"/>
        <c:scaling>
          <c:orientation val="minMax"/>
          <c:min val="5.000000000000001E-2"/>
        </c:scaling>
        <c:delete val="0"/>
        <c:axPos val="r"/>
        <c:numFmt formatCode="0.0%" sourceLinked="1"/>
        <c:majorTickMark val="in"/>
        <c:minorTickMark val="none"/>
        <c:tickLblPos val="nextTo"/>
        <c:spPr>
          <a:ln w="3175">
            <a:solidFill>
              <a:srgbClr val="000000"/>
            </a:solidFill>
            <a:prstDash val="solid"/>
          </a:ln>
        </c:spPr>
        <c:txPr>
          <a:bodyPr rot="0" vert="horz"/>
          <a:lstStyle/>
          <a:p>
            <a:pPr>
              <a:defRPr sz="1000"/>
            </a:pPr>
            <a:endParaRPr lang="ja-JP"/>
          </a:p>
        </c:txPr>
        <c:crossAx val="234184064"/>
        <c:crosses val="max"/>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panose="02020603050405020304" pitchFamily="18" charset="0"/>
          <a:ea typeface="ＭＳ Ｐゴシック"/>
          <a:cs typeface="ＭＳ Ｐゴシック"/>
        </a:defRPr>
      </a:pPr>
      <a:endParaRPr lang="ja-JP"/>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72928989990095"/>
          <c:y val="0.13473397540441515"/>
          <c:w val="0.73115300421472207"/>
          <c:h val="0.72384861569723136"/>
        </c:manualLayout>
      </c:layout>
      <c:barChart>
        <c:barDir val="col"/>
        <c:grouping val="clustered"/>
        <c:varyColors val="0"/>
        <c:ser>
          <c:idx val="1"/>
          <c:order val="1"/>
          <c:tx>
            <c:strRef>
              <c:f>南足柄市!$K$5</c:f>
              <c:strCache>
                <c:ptCount val="1"/>
                <c:pt idx="0">
                  <c:v>実質単年度収支</c:v>
                </c:pt>
              </c:strCache>
            </c:strRef>
          </c:tx>
          <c:invertIfNegative val="0"/>
          <c:dLbls>
            <c:dLbl>
              <c:idx val="1"/>
              <c:layout>
                <c:manualLayout>
                  <c:x val="2.4737167594310453E-3"/>
                  <c:y val="9.0815273477812181E-2"/>
                </c:manualLayout>
              </c:layout>
              <c:spPr/>
              <c:txPr>
                <a:bodyPr/>
                <a:lstStyle/>
                <a:p>
                  <a:pPr>
                    <a:defRPr/>
                  </a:pPr>
                  <a:endParaRPr lang="ja-JP"/>
                </a:p>
              </c:txPr>
              <c:dLblPos val="outEnd"/>
              <c:showLegendKey val="0"/>
              <c:showVal val="1"/>
              <c:showCatName val="0"/>
              <c:showSerName val="0"/>
              <c:showPercent val="0"/>
              <c:showBubbleSize val="0"/>
            </c:dLbl>
            <c:dLbl>
              <c:idx val="2"/>
              <c:layout>
                <c:manualLayout>
                  <c:x val="-1.4842300556586271E-2"/>
                  <c:y val="1.6512192941826546E-2"/>
                </c:manualLayout>
              </c:layout>
              <c:spPr/>
              <c:txPr>
                <a:bodyPr/>
                <a:lstStyle/>
                <a:p>
                  <a:pPr>
                    <a:defRPr/>
                  </a:pPr>
                  <a:endParaRPr lang="ja-JP"/>
                </a:p>
              </c:txPr>
              <c:dLblPos val="outEnd"/>
              <c:showLegendKey val="0"/>
              <c:showVal val="1"/>
              <c:showCatName val="0"/>
              <c:showSerName val="0"/>
              <c:showPercent val="0"/>
              <c:showBubbleSize val="0"/>
            </c:dLbl>
            <c:dLbl>
              <c:idx val="3"/>
              <c:layout>
                <c:manualLayout>
                  <c:x val="4.7000618429189858E-2"/>
                  <c:y val="4.1279994799411683E-2"/>
                </c:manualLayout>
              </c:layout>
              <c:spPr/>
              <c:txPr>
                <a:bodyPr/>
                <a:lstStyle/>
                <a:p>
                  <a:pPr>
                    <a:defRPr/>
                  </a:pPr>
                  <a:endParaRPr lang="ja-JP"/>
                </a:p>
              </c:txPr>
              <c:dLblPos val="outEnd"/>
              <c:showLegendKey val="0"/>
              <c:showVal val="1"/>
              <c:showCatName val="0"/>
              <c:showSerName val="0"/>
              <c:showPercent val="0"/>
              <c:showBubbleSize val="0"/>
            </c:dLbl>
            <c:dLbl>
              <c:idx val="4"/>
              <c:layout>
                <c:manualLayout>
                  <c:x val="-1.9789734075448363E-2"/>
                  <c:y val="2.0640159918090734E-2"/>
                </c:manualLayout>
              </c:layout>
              <c:spPr/>
              <c:txPr>
                <a:bodyPr/>
                <a:lstStyle/>
                <a:p>
                  <a:pPr>
                    <a:defRPr/>
                  </a:pPr>
                  <a:endParaRPr lang="ja-JP"/>
                </a:p>
              </c:txPr>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南足柄市!$L$3:$Q$3</c:f>
              <c:strCache>
                <c:ptCount val="6"/>
                <c:pt idx="0">
                  <c:v>23年度</c:v>
                </c:pt>
                <c:pt idx="1">
                  <c:v>24年度</c:v>
                </c:pt>
                <c:pt idx="2">
                  <c:v>25年度</c:v>
                </c:pt>
                <c:pt idx="3">
                  <c:v>26年度</c:v>
                </c:pt>
                <c:pt idx="4">
                  <c:v>27年度</c:v>
                </c:pt>
                <c:pt idx="5">
                  <c:v>類団</c:v>
                </c:pt>
              </c:strCache>
            </c:strRef>
          </c:cat>
          <c:val>
            <c:numRef>
              <c:f>南足柄市!$L$5:$Q$5</c:f>
              <c:numCache>
                <c:formatCode>#,##0.0_ ;[Red]\-#,##0.0\ </c:formatCode>
                <c:ptCount val="6"/>
                <c:pt idx="0">
                  <c:v>-1.84</c:v>
                </c:pt>
                <c:pt idx="1">
                  <c:v>0.94699999999999995</c:v>
                </c:pt>
                <c:pt idx="2">
                  <c:v>-0.44</c:v>
                </c:pt>
                <c:pt idx="3">
                  <c:v>-4.7</c:v>
                </c:pt>
                <c:pt idx="4">
                  <c:v>-1.54</c:v>
                </c:pt>
              </c:numCache>
            </c:numRef>
          </c:val>
        </c:ser>
        <c:dLbls>
          <c:showLegendKey val="0"/>
          <c:showVal val="0"/>
          <c:showCatName val="0"/>
          <c:showSerName val="0"/>
          <c:showPercent val="0"/>
          <c:showBubbleSize val="0"/>
        </c:dLbls>
        <c:gapWidth val="150"/>
        <c:axId val="247050240"/>
        <c:axId val="247051776"/>
      </c:barChart>
      <c:lineChart>
        <c:grouping val="standard"/>
        <c:varyColors val="0"/>
        <c:ser>
          <c:idx val="0"/>
          <c:order val="0"/>
          <c:tx>
            <c:strRef>
              <c:f>南足柄市!$K$4</c:f>
              <c:strCache>
                <c:ptCount val="1"/>
                <c:pt idx="0">
                  <c:v>実質収支比率</c:v>
                </c:pt>
              </c:strCache>
            </c:strRef>
          </c:tx>
          <c:dPt>
            <c:idx val="5"/>
            <c:bubble3D val="0"/>
            <c:spPr>
              <a:ln>
                <a:noFill/>
              </a:ln>
            </c:spPr>
          </c:dPt>
          <c:dLbls>
            <c:dLbl>
              <c:idx val="0"/>
              <c:layout>
                <c:manualLayout>
                  <c:x val="-5.0482326072877254E-2"/>
                  <c:y val="-9.5366438328335898E-2"/>
                </c:manualLayout>
              </c:layout>
              <c:spPr/>
              <c:txPr>
                <a:bodyPr/>
                <a:lstStyle/>
                <a:p>
                  <a:pPr>
                    <a:defRPr/>
                  </a:pPr>
                  <a:endParaRPr lang="ja-JP"/>
                </a:p>
              </c:txPr>
              <c:dLblPos val="r"/>
              <c:showLegendKey val="0"/>
              <c:showVal val="1"/>
              <c:showCatName val="0"/>
              <c:showSerName val="0"/>
              <c:showPercent val="0"/>
              <c:showBubbleSize val="0"/>
            </c:dLbl>
            <c:dLbl>
              <c:idx val="1"/>
              <c:layout>
                <c:manualLayout>
                  <c:x val="-8.7588077464342926E-2"/>
                  <c:y val="-1.2807098803052076E-2"/>
                </c:manualLayout>
              </c:layout>
              <c:spPr/>
              <c:txPr>
                <a:bodyPr/>
                <a:lstStyle/>
                <a:p>
                  <a:pPr>
                    <a:defRPr/>
                  </a:pPr>
                  <a:endParaRPr lang="ja-JP"/>
                </a:p>
              </c:txPr>
              <c:dLblPos val="r"/>
              <c:showLegendKey val="0"/>
              <c:showVal val="1"/>
              <c:showCatName val="0"/>
              <c:showSerName val="0"/>
              <c:showPercent val="0"/>
              <c:showBubbleSize val="0"/>
            </c:dLbl>
            <c:dLbl>
              <c:idx val="2"/>
              <c:layout>
                <c:manualLayout>
                  <c:x val="-3.3166308756859941E-2"/>
                  <c:y val="-4.5830834613165616E-2"/>
                </c:manualLayout>
              </c:layout>
              <c:spPr/>
              <c:txPr>
                <a:bodyPr/>
                <a:lstStyle/>
                <a:p>
                  <a:pPr>
                    <a:defRPr/>
                  </a:pPr>
                  <a:endParaRPr lang="ja-JP"/>
                </a:p>
              </c:txPr>
              <c:dLblPos val="r"/>
              <c:showLegendKey val="0"/>
              <c:showVal val="1"/>
              <c:showCatName val="0"/>
              <c:showSerName val="0"/>
              <c:showPercent val="0"/>
              <c:showBubbleSize val="0"/>
            </c:dLbl>
            <c:dLbl>
              <c:idx val="3"/>
              <c:layout>
                <c:manualLayout>
                  <c:x val="-0.11232524505865338"/>
                  <c:y val="-4.2319787425952561E-4"/>
                </c:manualLayout>
              </c:layout>
              <c:spPr/>
              <c:txPr>
                <a:bodyPr/>
                <a:lstStyle/>
                <a:p>
                  <a:pPr>
                    <a:defRPr/>
                  </a:pPr>
                  <a:endParaRPr lang="ja-JP"/>
                </a:p>
              </c:txPr>
              <c:dLblPos val="r"/>
              <c:showLegendKey val="0"/>
              <c:showVal val="1"/>
              <c:showCatName val="0"/>
              <c:showSerName val="0"/>
              <c:showPercent val="0"/>
              <c:showBubbleSize val="0"/>
            </c:dLbl>
            <c:dLbl>
              <c:idx val="4"/>
              <c:layout>
                <c:manualLayout>
                  <c:x val="-3.0692591997428985E-2"/>
                  <c:y val="4.9112405840910756E-2"/>
                </c:manualLayout>
              </c:layout>
              <c:spPr/>
              <c:txPr>
                <a:bodyPr/>
                <a:lstStyle/>
                <a:p>
                  <a:pPr>
                    <a:defRPr/>
                  </a:pPr>
                  <a:endParaRPr lang="ja-JP"/>
                </a:p>
              </c:txPr>
              <c:dLblPos val="r"/>
              <c:showLegendKey val="0"/>
              <c:showVal val="1"/>
              <c:showCatName val="0"/>
              <c:showSerName val="0"/>
              <c:showPercent val="0"/>
              <c:showBubbleSize val="0"/>
            </c:dLbl>
            <c:dLbl>
              <c:idx val="5"/>
              <c:layout>
                <c:manualLayout>
                  <c:x val="-0.12011747075899913"/>
                  <c:y val="2.4195230695696093E-2"/>
                </c:manualLayout>
              </c:layout>
              <c:spPr/>
              <c:txPr>
                <a:bodyPr/>
                <a:lstStyle/>
                <a:p>
                  <a:pPr>
                    <a:defRPr/>
                  </a:pPr>
                  <a:endParaRPr lang="ja-JP"/>
                </a:p>
              </c:txPr>
              <c:dLblPos val="r"/>
              <c:showLegendKey val="0"/>
              <c:showVal val="1"/>
              <c:showCatName val="0"/>
              <c:showSerName val="0"/>
              <c:showPercent val="0"/>
              <c:showBubbleSize val="0"/>
            </c:dLbl>
            <c:spPr>
              <a:noFill/>
              <a:ln w="25400">
                <a:noFill/>
              </a:ln>
            </c:spPr>
            <c:dLblPos val="t"/>
            <c:showLegendKey val="0"/>
            <c:showVal val="1"/>
            <c:showCatName val="0"/>
            <c:showSerName val="0"/>
            <c:showPercent val="0"/>
            <c:showBubbleSize val="0"/>
            <c:showLeaderLines val="0"/>
          </c:dLbls>
          <c:cat>
            <c:strRef>
              <c:f>南足柄市!$L$3:$Q$3</c:f>
              <c:strCache>
                <c:ptCount val="6"/>
                <c:pt idx="0">
                  <c:v>23年度</c:v>
                </c:pt>
                <c:pt idx="1">
                  <c:v>24年度</c:v>
                </c:pt>
                <c:pt idx="2">
                  <c:v>25年度</c:v>
                </c:pt>
                <c:pt idx="3">
                  <c:v>26年度</c:v>
                </c:pt>
                <c:pt idx="4">
                  <c:v>27年度</c:v>
                </c:pt>
                <c:pt idx="5">
                  <c:v>類団</c:v>
                </c:pt>
              </c:strCache>
            </c:strRef>
          </c:cat>
          <c:val>
            <c:numRef>
              <c:f>南足柄市!$L$4:$Q$4</c:f>
              <c:numCache>
                <c:formatCode>0.0%</c:formatCode>
                <c:ptCount val="6"/>
                <c:pt idx="0">
                  <c:v>5.0999999999999997E-2</c:v>
                </c:pt>
                <c:pt idx="1">
                  <c:v>6.5000000000000002E-2</c:v>
                </c:pt>
                <c:pt idx="2">
                  <c:v>6.4000000000000001E-2</c:v>
                </c:pt>
                <c:pt idx="3">
                  <c:v>0.03</c:v>
                </c:pt>
                <c:pt idx="4">
                  <c:v>3.5000000000000003E-2</c:v>
                </c:pt>
                <c:pt idx="5">
                  <c:v>6.7000000000000004E-2</c:v>
                </c:pt>
              </c:numCache>
            </c:numRef>
          </c:val>
          <c:smooth val="0"/>
        </c:ser>
        <c:dLbls>
          <c:showLegendKey val="0"/>
          <c:showVal val="0"/>
          <c:showCatName val="0"/>
          <c:showSerName val="0"/>
          <c:showPercent val="0"/>
          <c:showBubbleSize val="0"/>
        </c:dLbls>
        <c:marker val="1"/>
        <c:smooth val="0"/>
        <c:axId val="247053312"/>
        <c:axId val="247067392"/>
      </c:lineChart>
      <c:catAx>
        <c:axId val="247050240"/>
        <c:scaling>
          <c:orientation val="minMax"/>
        </c:scaling>
        <c:delete val="0"/>
        <c:axPos val="b"/>
        <c:numFmt formatCode="General" sourceLinked="1"/>
        <c:majorTickMark val="none"/>
        <c:minorTickMark val="none"/>
        <c:tickLblPos val="low"/>
        <c:txPr>
          <a:bodyPr/>
          <a:lstStyle/>
          <a:p>
            <a:pPr>
              <a:defRPr baseline="0">
                <a:ea typeface="ＭＳ Ｐ明朝" panose="02020600040205080304" pitchFamily="18" charset="-128"/>
              </a:defRPr>
            </a:pPr>
            <a:endParaRPr lang="ja-JP"/>
          </a:p>
        </c:txPr>
        <c:crossAx val="247051776"/>
        <c:crosses val="autoZero"/>
        <c:auto val="1"/>
        <c:lblAlgn val="ctr"/>
        <c:lblOffset val="100"/>
        <c:noMultiLvlLbl val="0"/>
      </c:catAx>
      <c:valAx>
        <c:axId val="247051776"/>
        <c:scaling>
          <c:orientation val="minMax"/>
        </c:scaling>
        <c:delete val="0"/>
        <c:axPos val="l"/>
        <c:majorGridlines/>
        <c:numFmt formatCode="#,##0.0_ " sourceLinked="0"/>
        <c:majorTickMark val="out"/>
        <c:minorTickMark val="none"/>
        <c:tickLblPos val="nextTo"/>
        <c:crossAx val="247050240"/>
        <c:crosses val="autoZero"/>
        <c:crossBetween val="between"/>
      </c:valAx>
      <c:catAx>
        <c:axId val="247053312"/>
        <c:scaling>
          <c:orientation val="minMax"/>
        </c:scaling>
        <c:delete val="1"/>
        <c:axPos val="b"/>
        <c:majorTickMark val="out"/>
        <c:minorTickMark val="none"/>
        <c:tickLblPos val="nextTo"/>
        <c:crossAx val="247067392"/>
        <c:crosses val="autoZero"/>
        <c:auto val="1"/>
        <c:lblAlgn val="ctr"/>
        <c:lblOffset val="100"/>
        <c:noMultiLvlLbl val="0"/>
      </c:catAx>
      <c:valAx>
        <c:axId val="247067392"/>
        <c:scaling>
          <c:orientation val="minMax"/>
          <c:min val="2.0000000000000004E-2"/>
        </c:scaling>
        <c:delete val="0"/>
        <c:axPos val="r"/>
        <c:numFmt formatCode="0.0%" sourceLinked="1"/>
        <c:majorTickMark val="out"/>
        <c:minorTickMark val="none"/>
        <c:tickLblPos val="nextTo"/>
        <c:crossAx val="247053312"/>
        <c:crosses val="max"/>
        <c:crossBetween val="between"/>
      </c:valAx>
    </c:plotArea>
    <c:legend>
      <c:legendPos val="r"/>
      <c:layout>
        <c:manualLayout>
          <c:xMode val="edge"/>
          <c:yMode val="edge"/>
          <c:x val="0.17063533724951047"/>
          <c:y val="4.9079754601226995E-2"/>
          <c:w val="0.64484251968503936"/>
          <c:h val="0.1165644171779141"/>
        </c:manualLayout>
      </c:layout>
      <c:overlay val="0"/>
    </c:legend>
    <c:plotVisOnly val="1"/>
    <c:dispBlanksAs val="gap"/>
    <c:showDLblsOverMax val="0"/>
  </c:chart>
  <c:txPr>
    <a:bodyPr/>
    <a:lstStyle/>
    <a:p>
      <a:pPr>
        <a:defRPr kern="0" baseline="0"/>
      </a:pPr>
      <a:endParaRPr lang="ja-JP"/>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0.23001</cdr:x>
      <cdr:y>0.02049</cdr:y>
    </cdr:from>
    <cdr:to>
      <cdr:x>0.58225</cdr:x>
      <cdr:y>0.1021</cdr:y>
    </cdr:to>
    <cdr:sp macro="" textlink="">
      <cdr:nvSpPr>
        <cdr:cNvPr id="2" name="テキスト ボックス 1"/>
        <cdr:cNvSpPr txBox="1"/>
      </cdr:nvSpPr>
      <cdr:spPr>
        <a:xfrm xmlns:a="http://schemas.openxmlformats.org/drawingml/2006/main">
          <a:off x="1081122" y="53868"/>
          <a:ext cx="1655623" cy="2145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歳入歳出総額の推移</a:t>
          </a:r>
        </a:p>
      </cdr:txBody>
    </cdr:sp>
  </cdr:relSizeAnchor>
  <cdr:relSizeAnchor xmlns:cdr="http://schemas.openxmlformats.org/drawingml/2006/chartDrawing">
    <cdr:from>
      <cdr:x>0.03636</cdr:x>
      <cdr:y>0.05242</cdr:y>
    </cdr:from>
    <cdr:to>
      <cdr:x>0.10231</cdr:x>
      <cdr:y>0.14275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1450" y="123825"/>
          <a:ext cx="310923" cy="21337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0.03534</cdr:x>
      <cdr:y>0.0381</cdr:y>
    </cdr:from>
    <cdr:to>
      <cdr:x>0.12523</cdr:x>
      <cdr:y>0.16521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6688" y="83343"/>
          <a:ext cx="420660" cy="28044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0.2744</cdr:x>
      <cdr:y>0.00928</cdr:y>
    </cdr:from>
    <cdr:to>
      <cdr:x>0.69645</cdr:x>
      <cdr:y>0.11076</cdr:y>
    </cdr:to>
    <cdr:sp macro="" textlink="">
      <cdr:nvSpPr>
        <cdr:cNvPr id="2" name="テキスト ボックス 1"/>
        <cdr:cNvSpPr txBox="1"/>
      </cdr:nvSpPr>
      <cdr:spPr>
        <a:xfrm xmlns:a="http://schemas.openxmlformats.org/drawingml/2006/main">
          <a:off x="1239840" y="27868"/>
          <a:ext cx="1903353" cy="3067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1200"/>
            </a:lnSpc>
          </a:pPr>
          <a:r>
            <a:rPr lang="ja-JP" altLang="en-US" sz="1100"/>
            <a:t>実質収支比率と実質単年度収支</a:t>
          </a:r>
        </a:p>
      </cdr:txBody>
    </cdr:sp>
  </cdr:relSizeAnchor>
  <cdr:relSizeAnchor xmlns:cdr="http://schemas.openxmlformats.org/drawingml/2006/chartDrawing">
    <cdr:from>
      <cdr:x>0.08107</cdr:x>
      <cdr:y>0.06656</cdr:y>
    </cdr:from>
    <cdr:to>
      <cdr:x>0.17847</cdr:x>
      <cdr:y>0.15312</cdr:y>
    </cdr:to>
    <cdr:sp macro="" textlink="">
      <cdr:nvSpPr>
        <cdr:cNvPr id="4" name="テキスト ボックス 3"/>
        <cdr:cNvSpPr txBox="1"/>
      </cdr:nvSpPr>
      <cdr:spPr>
        <a:xfrm xmlns:a="http://schemas.openxmlformats.org/drawingml/2006/main">
          <a:off x="367466" y="200521"/>
          <a:ext cx="437834" cy="261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latin typeface="ＭＳ Ｐゴシック" panose="020B0600070205080204" pitchFamily="50" charset="-128"/>
              <a:ea typeface="ＭＳ Ｐゴシック" panose="020B0600070205080204" pitchFamily="50" charset="-128"/>
            </a:rPr>
            <a:t>億円</a:t>
          </a:r>
          <a:endParaRPr lang="ja-JP" altLang="en-US" sz="1100">
            <a:latin typeface="ＭＳ Ｐゴシック" panose="020B0600070205080204" pitchFamily="50" charset="-128"/>
            <a:ea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B82B-78AA-4CCD-BA79-6454F6D2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山神裕</dc:creator>
  <cp:lastModifiedBy>FJ-USER</cp:lastModifiedBy>
  <cp:revision>4</cp:revision>
  <cp:lastPrinted>2017-10-07T15:39:00Z</cp:lastPrinted>
  <dcterms:created xsi:type="dcterms:W3CDTF">2018-01-01T15:55:00Z</dcterms:created>
  <dcterms:modified xsi:type="dcterms:W3CDTF">2018-01-01T16:07:00Z</dcterms:modified>
</cp:coreProperties>
</file>